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ind w:firstLine="0" w:firstLineChars="0"/>
        <w:jc w:val="center"/>
        <w:rPr>
          <w:rFonts w:cs="Times New Roman"/>
          <w:b/>
          <w:bCs/>
          <w:color w:val="auto"/>
          <w:sz w:val="18"/>
          <w:szCs w:val="18"/>
        </w:rPr>
      </w:pPr>
      <w:bookmarkStart w:id="0" w:name="_GoBack"/>
      <w:r>
        <w:rPr>
          <w:rFonts w:hint="eastAsia" w:cs="Times New Roman"/>
          <w:b/>
          <w:bCs/>
          <w:color w:val="auto"/>
          <w:sz w:val="18"/>
          <w:szCs w:val="18"/>
        </w:rPr>
        <w:t>美国科学数据发展中的主要管理政策</w:t>
      </w:r>
    </w:p>
    <w:bookmarkEnd w:id="0"/>
    <w:p>
      <w:pPr>
        <w:spacing w:after="156" w:afterLines="50"/>
        <w:ind w:firstLine="0" w:firstLineChars="0"/>
        <w:jc w:val="center"/>
        <w:rPr>
          <w:rFonts w:cs="Times New Roman"/>
          <w:b/>
          <w:bCs/>
          <w:color w:val="auto"/>
          <w:sz w:val="18"/>
          <w:szCs w:val="18"/>
        </w:rPr>
      </w:pPr>
      <w:r>
        <w:rPr>
          <w:rFonts w:hint="eastAsia" w:cs="Times New Roman"/>
          <w:b/>
          <w:bCs/>
          <w:color w:val="auto"/>
          <w:sz w:val="18"/>
          <w:szCs w:val="18"/>
        </w:rPr>
        <w:t>Main Management Policies in the Development of Scientific Data in the United States</w:t>
      </w:r>
    </w:p>
    <w:tbl>
      <w:tblPr>
        <w:tblStyle w:val="3"/>
        <w:tblW w:w="8533"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1887"/>
        <w:gridCol w:w="2590"/>
        <w:gridCol w:w="298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时间</w:t>
            </w:r>
          </w:p>
        </w:tc>
        <w:tc>
          <w:tcPr>
            <w:tcW w:w="1887"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机构</w:t>
            </w:r>
          </w:p>
        </w:tc>
        <w:tc>
          <w:tcPr>
            <w:tcW w:w="2590" w:type="dxa"/>
            <w:tcBorders>
              <w:tl2br w:val="nil"/>
              <w:tr2bl w:val="nil"/>
            </w:tcBorders>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政策</w:t>
            </w:r>
          </w:p>
        </w:tc>
        <w:tc>
          <w:tcPr>
            <w:tcW w:w="2985" w:type="dxa"/>
            <w:tcBorders>
              <w:tl2br w:val="nil"/>
              <w:tr2bl w:val="nil"/>
            </w:tcBorders>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要点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2009</w:t>
            </w:r>
          </w:p>
        </w:tc>
        <w:tc>
          <w:tcPr>
            <w:tcW w:w="1887"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shd w:val="clear" w:color="auto" w:fill="FFFFFF"/>
              </w:rPr>
              <w:t>白宫办公厅</w:t>
            </w: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《透明开放政府备忘录》</w:t>
            </w:r>
            <w:r>
              <w:rPr>
                <w:rFonts w:hint="eastAsia"/>
                <w:color w:val="auto"/>
                <w:vertAlign w:val="superscript"/>
              </w:rPr>
              <w:t>[16]</w:t>
            </w:r>
          </w:p>
        </w:tc>
        <w:tc>
          <w:tcPr>
            <w:tcW w:w="2985" w:type="dxa"/>
            <w:tcBorders>
              <w:tl2br w:val="nil"/>
              <w:tr2bl w:val="nil"/>
            </w:tcBorders>
          </w:tcPr>
          <w:p>
            <w:pPr>
              <w:spacing w:line="240" w:lineRule="auto"/>
              <w:ind w:firstLine="0" w:firstLineChars="0"/>
              <w:rPr>
                <w:rFonts w:hint="eastAsia" w:eastAsia="宋体" w:cs="Times New Roman"/>
                <w:color w:val="auto"/>
                <w:sz w:val="18"/>
                <w:szCs w:val="18"/>
                <w:lang w:eastAsia="zh-CN"/>
              </w:rPr>
            </w:pPr>
            <w:r>
              <w:rPr>
                <w:rFonts w:cs="Times New Roman"/>
                <w:color w:val="auto"/>
                <w:sz w:val="18"/>
                <w:szCs w:val="18"/>
              </w:rPr>
              <w:t>建立透明、开放、合作政府。5月，政府数据开放网站Data.gov上线，要求各部门在60天内公布开放政府计划，并把首批开放数据上传到Data.gov网站上</w:t>
            </w:r>
            <w:r>
              <w:rPr>
                <w:rFonts w:hint="eastAsia" w:cs="Times New Roman"/>
                <w:color w:val="auto"/>
                <w:sz w:val="18"/>
                <w:szCs w:val="18"/>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1991</w:t>
            </w:r>
          </w:p>
        </w:tc>
        <w:tc>
          <w:tcPr>
            <w:tcW w:w="1887" w:type="dxa"/>
            <w:vMerge w:val="restart"/>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白宫科技政策办公室(OSTP)</w:t>
            </w:r>
          </w:p>
          <w:p>
            <w:pPr>
              <w:spacing w:line="240" w:lineRule="auto"/>
              <w:ind w:firstLine="0" w:firstLineChars="0"/>
              <w:jc w:val="center"/>
              <w:outlineLvl w:val="1"/>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《全球变化研究数据管理政策声明》</w:t>
            </w:r>
            <w:r>
              <w:rPr>
                <w:rFonts w:hint="eastAsia"/>
                <w:color w:val="auto"/>
                <w:vertAlign w:val="superscript"/>
              </w:rPr>
              <w:t>[</w:t>
            </w:r>
            <w:r>
              <w:rPr>
                <w:rFonts w:hint="eastAsia"/>
                <w:color w:val="auto"/>
                <w:vertAlign w:val="superscript"/>
                <w:lang w:val="en-US" w:eastAsia="zh-CN"/>
              </w:rPr>
              <w:t>17</w:t>
            </w:r>
            <w:r>
              <w:rPr>
                <w:rFonts w:hint="eastAsia"/>
                <w:color w:val="auto"/>
                <w:vertAlign w:val="superscript"/>
              </w:rPr>
              <w:t>]</w:t>
            </w:r>
          </w:p>
        </w:tc>
        <w:tc>
          <w:tcPr>
            <w:tcW w:w="2985" w:type="dxa"/>
            <w:tcBorders>
              <w:tl2br w:val="nil"/>
              <w:tr2bl w:val="nil"/>
            </w:tcBorders>
          </w:tcPr>
          <w:p>
            <w:pPr>
              <w:spacing w:line="240" w:lineRule="auto"/>
              <w:ind w:firstLine="0" w:firstLineChars="0"/>
              <w:rPr>
                <w:rFonts w:hint="eastAsia" w:eastAsia="宋体" w:cs="Times New Roman"/>
                <w:color w:val="auto"/>
                <w:sz w:val="18"/>
                <w:szCs w:val="18"/>
                <w:lang w:eastAsia="zh-CN"/>
              </w:rPr>
            </w:pPr>
            <w:r>
              <w:rPr>
                <w:rFonts w:cs="Times New Roman"/>
                <w:color w:val="auto"/>
                <w:sz w:val="18"/>
                <w:szCs w:val="18"/>
              </w:rPr>
              <w:t>对</w:t>
            </w:r>
            <w:r>
              <w:rPr>
                <w:rFonts w:hint="eastAsia" w:cs="Times New Roman"/>
                <w:color w:val="auto"/>
                <w:sz w:val="18"/>
                <w:szCs w:val="18"/>
              </w:rPr>
              <w:t>USGCRP（U.S. Global Change Research Program）</w:t>
            </w:r>
            <w:r>
              <w:rPr>
                <w:rFonts w:cs="Times New Roman"/>
                <w:color w:val="auto"/>
                <w:sz w:val="18"/>
                <w:szCs w:val="18"/>
              </w:rPr>
              <w:t>所产生的科学数据实行完全公开共享</w:t>
            </w:r>
            <w:r>
              <w:rPr>
                <w:rFonts w:hint="eastAsia" w:cs="Times New Roman"/>
                <w:color w:val="auto"/>
                <w:sz w:val="18"/>
                <w:szCs w:val="18"/>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2012</w:t>
            </w:r>
          </w:p>
        </w:tc>
        <w:tc>
          <w:tcPr>
            <w:tcW w:w="1887" w:type="dxa"/>
            <w:vMerge w:val="continue"/>
            <w:tcBorders>
              <w:tl2br w:val="nil"/>
              <w:tr2bl w:val="nil"/>
            </w:tcBorders>
            <w:vAlign w:val="center"/>
          </w:tcPr>
          <w:p>
            <w:pPr>
              <w:spacing w:line="240" w:lineRule="auto"/>
              <w:ind w:firstLine="0" w:firstLineChars="0"/>
              <w:jc w:val="center"/>
              <w:outlineLvl w:val="1"/>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《大数据研究和发展倡议</w:t>
            </w:r>
            <w:r>
              <w:rPr>
                <w:rFonts w:hint="eastAsia" w:cs="Times New Roman"/>
                <w:color w:val="auto"/>
                <w:sz w:val="18"/>
                <w:szCs w:val="18"/>
              </w:rPr>
              <w:t>》</w:t>
            </w:r>
            <w:r>
              <w:rPr>
                <w:rFonts w:hint="eastAsia"/>
                <w:color w:val="auto"/>
                <w:vertAlign w:val="superscript"/>
              </w:rPr>
              <w:t>[18]</w:t>
            </w:r>
          </w:p>
        </w:tc>
        <w:tc>
          <w:tcPr>
            <w:tcW w:w="2985" w:type="dxa"/>
            <w:tcBorders>
              <w:tl2br w:val="nil"/>
              <w:tr2bl w:val="nil"/>
            </w:tcBorders>
          </w:tcPr>
          <w:p>
            <w:pPr>
              <w:spacing w:line="240" w:lineRule="auto"/>
              <w:ind w:firstLine="0" w:firstLineChars="0"/>
              <w:rPr>
                <w:rFonts w:cs="Times New Roman"/>
                <w:color w:val="auto"/>
                <w:sz w:val="18"/>
                <w:szCs w:val="18"/>
              </w:rPr>
            </w:pPr>
            <w:r>
              <w:rPr>
                <w:rFonts w:hint="eastAsia" w:cs="Times New Roman"/>
                <w:color w:val="auto"/>
                <w:sz w:val="18"/>
                <w:szCs w:val="18"/>
              </w:rPr>
              <w:t>对数据管理、可视化、数据分析，包括数字保存和访问提出来新的方法及任务，制定数据引用实践的新政策，使得数据能够有效地重用。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2013</w:t>
            </w:r>
          </w:p>
        </w:tc>
        <w:tc>
          <w:tcPr>
            <w:tcW w:w="1887" w:type="dxa"/>
            <w:vMerge w:val="continue"/>
            <w:tcBorders>
              <w:tl2br w:val="nil"/>
              <w:tr2bl w:val="nil"/>
            </w:tcBorders>
            <w:vAlign w:val="center"/>
          </w:tcPr>
          <w:p>
            <w:pPr>
              <w:spacing w:line="240" w:lineRule="auto"/>
              <w:ind w:firstLine="0" w:firstLineChars="0"/>
              <w:jc w:val="center"/>
              <w:outlineLvl w:val="1"/>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《促进联邦资助科研成果获取备忘录》</w:t>
            </w:r>
            <w:r>
              <w:rPr>
                <w:rFonts w:hint="eastAsia"/>
                <w:color w:val="auto"/>
                <w:vertAlign w:val="superscript"/>
              </w:rPr>
              <w:t>[19]</w:t>
            </w:r>
          </w:p>
        </w:tc>
        <w:tc>
          <w:tcPr>
            <w:tcW w:w="2985" w:type="dxa"/>
            <w:tcBorders>
              <w:tl2br w:val="nil"/>
              <w:tr2bl w:val="nil"/>
            </w:tcBorders>
          </w:tcPr>
          <w:p>
            <w:pPr>
              <w:spacing w:line="240" w:lineRule="auto"/>
              <w:ind w:firstLine="0" w:firstLineChars="0"/>
              <w:rPr>
                <w:rFonts w:cs="Times New Roman"/>
                <w:color w:val="auto"/>
                <w:sz w:val="18"/>
                <w:szCs w:val="18"/>
              </w:rPr>
            </w:pPr>
            <w:r>
              <w:rPr>
                <w:rFonts w:hint="eastAsia" w:cs="Times New Roman"/>
                <w:color w:val="auto"/>
                <w:sz w:val="18"/>
                <w:szCs w:val="18"/>
              </w:rPr>
              <w:t>政府致力于确保在最大程度上和尽可能少的限制下，并在符合法律和下述目标的情况下，将联邦资助的科学研究的直接成果提供给公众、工业界和科学界，并使其受益。</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2013</w:t>
            </w:r>
          </w:p>
        </w:tc>
        <w:tc>
          <w:tcPr>
            <w:tcW w:w="1887" w:type="dxa"/>
            <w:vMerge w:val="continue"/>
            <w:tcBorders>
              <w:tl2br w:val="nil"/>
              <w:tr2bl w:val="nil"/>
            </w:tcBorders>
            <w:vAlign w:val="center"/>
          </w:tcPr>
          <w:p>
            <w:pPr>
              <w:spacing w:line="240" w:lineRule="auto"/>
              <w:ind w:firstLine="0" w:firstLineChars="0"/>
              <w:jc w:val="center"/>
              <w:outlineLvl w:val="1"/>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《政府信息公开和机器可读行政命令》</w:t>
            </w:r>
            <w:r>
              <w:rPr>
                <w:rFonts w:hint="eastAsia"/>
                <w:color w:val="auto"/>
                <w:vertAlign w:val="superscript"/>
              </w:rPr>
              <w:t>[20]</w:t>
            </w:r>
          </w:p>
        </w:tc>
        <w:tc>
          <w:tcPr>
            <w:tcW w:w="2985" w:type="dxa"/>
            <w:tcBorders>
              <w:tl2br w:val="nil"/>
              <w:tr2bl w:val="nil"/>
            </w:tcBorders>
          </w:tcPr>
          <w:p>
            <w:pPr>
              <w:spacing w:line="240" w:lineRule="auto"/>
              <w:ind w:firstLine="0" w:firstLineChars="0"/>
              <w:rPr>
                <w:rFonts w:cs="Times New Roman"/>
                <w:color w:val="auto"/>
                <w:sz w:val="18"/>
                <w:szCs w:val="18"/>
              </w:rPr>
            </w:pPr>
            <w:r>
              <w:rPr>
                <w:rFonts w:hint="eastAsia" w:cs="Times New Roman"/>
                <w:color w:val="auto"/>
                <w:sz w:val="18"/>
                <w:szCs w:val="18"/>
              </w:rPr>
              <w:t>为促进就业持续增长、提高政府效率以及从向公众开放政府数据中获得的社会利益，政府信息资源的默认状态应当是开放的和机读的，在其整个生存周期中作为资产进行管理，以促进互操作性和公开性。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2009</w:t>
            </w:r>
          </w:p>
        </w:tc>
        <w:tc>
          <w:tcPr>
            <w:tcW w:w="1887" w:type="dxa"/>
            <w:vMerge w:val="restart"/>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美国行政管理和预算局（OMB）</w:t>
            </w:r>
          </w:p>
          <w:p>
            <w:pPr>
              <w:spacing w:line="240" w:lineRule="auto"/>
              <w:ind w:firstLine="0" w:firstLineChars="0"/>
              <w:jc w:val="center"/>
              <w:outlineLvl w:val="1"/>
              <w:rPr>
                <w:rFonts w:cs="Times New Roman"/>
                <w:color w:val="auto"/>
                <w:sz w:val="18"/>
                <w:szCs w:val="18"/>
                <w:shd w:val="clear" w:color="auto" w:fill="FFFFFF"/>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《开放政府命令》</w:t>
            </w:r>
            <w:r>
              <w:rPr>
                <w:rFonts w:hint="eastAsia"/>
                <w:color w:val="auto"/>
                <w:vertAlign w:val="superscript"/>
              </w:rPr>
              <w:t>[2</w:t>
            </w:r>
            <w:r>
              <w:rPr>
                <w:rFonts w:hint="eastAsia"/>
                <w:color w:val="auto"/>
                <w:vertAlign w:val="superscript"/>
                <w:lang w:val="en-US" w:eastAsia="zh-CN"/>
              </w:rPr>
              <w:t>1</w:t>
            </w:r>
            <w:r>
              <w:rPr>
                <w:rFonts w:hint="eastAsia"/>
                <w:color w:val="auto"/>
                <w:vertAlign w:val="superscript"/>
              </w:rPr>
              <w:t>]</w:t>
            </w:r>
          </w:p>
        </w:tc>
        <w:tc>
          <w:tcPr>
            <w:tcW w:w="2985" w:type="dxa"/>
            <w:tcBorders>
              <w:tl2br w:val="nil"/>
              <w:tr2bl w:val="nil"/>
            </w:tcBorders>
          </w:tcPr>
          <w:p>
            <w:pPr>
              <w:spacing w:line="240" w:lineRule="auto"/>
              <w:ind w:firstLine="0" w:firstLineChars="0"/>
              <w:rPr>
                <w:rFonts w:hint="eastAsia" w:eastAsia="宋体" w:cs="Times New Roman"/>
                <w:color w:val="auto"/>
                <w:sz w:val="18"/>
                <w:szCs w:val="18"/>
                <w:lang w:eastAsia="zh-CN"/>
              </w:rPr>
            </w:pPr>
            <w:r>
              <w:rPr>
                <w:rFonts w:cs="Times New Roman"/>
                <w:color w:val="auto"/>
                <w:sz w:val="18"/>
                <w:szCs w:val="18"/>
              </w:rPr>
              <w:t>鼓励政府数据透明和公开，指导机构以</w:t>
            </w:r>
            <w:r>
              <w:rPr>
                <w:rFonts w:hint="eastAsia" w:cs="Times New Roman"/>
                <w:color w:val="auto"/>
                <w:sz w:val="18"/>
                <w:szCs w:val="18"/>
                <w:lang w:eastAsia="zh-CN"/>
              </w:rPr>
              <w:t>“</w:t>
            </w:r>
            <w:r>
              <w:rPr>
                <w:rFonts w:cs="Times New Roman"/>
                <w:color w:val="auto"/>
                <w:sz w:val="18"/>
                <w:szCs w:val="18"/>
              </w:rPr>
              <w:t>开放格式</w:t>
            </w:r>
            <w:r>
              <w:rPr>
                <w:rFonts w:hint="eastAsia" w:cs="Times New Roman"/>
                <w:color w:val="auto"/>
                <w:sz w:val="18"/>
                <w:szCs w:val="18"/>
                <w:lang w:eastAsia="zh-CN"/>
              </w:rPr>
              <w:t>”</w:t>
            </w:r>
            <w:r>
              <w:rPr>
                <w:rFonts w:cs="Times New Roman"/>
                <w:color w:val="auto"/>
                <w:sz w:val="18"/>
                <w:szCs w:val="18"/>
              </w:rPr>
              <w:t>在线发布信息</w:t>
            </w:r>
            <w:r>
              <w:rPr>
                <w:rFonts w:hint="eastAsia" w:cs="Times New Roman"/>
                <w:color w:val="auto"/>
                <w:sz w:val="18"/>
                <w:szCs w:val="18"/>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2013</w:t>
            </w:r>
          </w:p>
        </w:tc>
        <w:tc>
          <w:tcPr>
            <w:tcW w:w="1887" w:type="dxa"/>
            <w:vMerge w:val="continue"/>
            <w:tcBorders>
              <w:tl2br w:val="nil"/>
              <w:tr2bl w:val="nil"/>
            </w:tcBorders>
            <w:vAlign w:val="center"/>
          </w:tcPr>
          <w:p>
            <w:pPr>
              <w:spacing w:line="240" w:lineRule="auto"/>
              <w:ind w:firstLine="0" w:firstLineChars="0"/>
              <w:jc w:val="center"/>
              <w:outlineLvl w:val="1"/>
              <w:rPr>
                <w:rFonts w:cs="Times New Roman"/>
                <w:color w:val="auto"/>
                <w:sz w:val="18"/>
                <w:szCs w:val="18"/>
                <w:shd w:val="clear" w:color="auto" w:fill="FFFFFF"/>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w:t>
            </w:r>
            <w:r>
              <w:rPr>
                <w:rFonts w:cs="Times New Roman"/>
                <w:color w:val="auto"/>
                <w:sz w:val="18"/>
                <w:szCs w:val="18"/>
              </w:rPr>
              <w:t>开放数据政策一将信息作为资产管理</w:t>
            </w:r>
            <w:r>
              <w:rPr>
                <w:rFonts w:hint="eastAsia" w:cs="Times New Roman"/>
                <w:color w:val="auto"/>
                <w:sz w:val="18"/>
                <w:szCs w:val="18"/>
              </w:rPr>
              <w:t>》</w:t>
            </w:r>
            <w:r>
              <w:rPr>
                <w:rFonts w:hint="eastAsia"/>
                <w:color w:val="auto"/>
                <w:vertAlign w:val="superscript"/>
              </w:rPr>
              <w:t>[2</w:t>
            </w:r>
            <w:r>
              <w:rPr>
                <w:rFonts w:hint="eastAsia"/>
                <w:color w:val="auto"/>
                <w:vertAlign w:val="superscript"/>
                <w:lang w:val="en-US" w:eastAsia="zh-CN"/>
              </w:rPr>
              <w:t>2</w:t>
            </w:r>
            <w:r>
              <w:rPr>
                <w:rFonts w:hint="eastAsia"/>
                <w:color w:val="auto"/>
                <w:vertAlign w:val="superscript"/>
              </w:rPr>
              <w:t>]</w:t>
            </w:r>
          </w:p>
        </w:tc>
        <w:tc>
          <w:tcPr>
            <w:tcW w:w="2985" w:type="dxa"/>
            <w:tcBorders>
              <w:tl2br w:val="nil"/>
              <w:tr2bl w:val="nil"/>
            </w:tcBorders>
          </w:tcPr>
          <w:p>
            <w:pPr>
              <w:spacing w:line="240" w:lineRule="auto"/>
              <w:ind w:firstLine="0" w:firstLineChars="0"/>
              <w:rPr>
                <w:rFonts w:cs="Times New Roman"/>
                <w:color w:val="auto"/>
                <w:sz w:val="18"/>
                <w:szCs w:val="18"/>
              </w:rPr>
            </w:pPr>
            <w:r>
              <w:rPr>
                <w:rFonts w:cs="Times New Roman"/>
                <w:color w:val="auto"/>
                <w:sz w:val="18"/>
                <w:szCs w:val="18"/>
              </w:rPr>
              <w:t>对所有机构数据资产进行分类，将其访问级别分为</w:t>
            </w:r>
            <w:r>
              <w:rPr>
                <w:rFonts w:hint="eastAsia" w:cs="Times New Roman"/>
                <w:color w:val="auto"/>
                <w:sz w:val="18"/>
                <w:szCs w:val="18"/>
                <w:lang w:eastAsia="zh-CN"/>
              </w:rPr>
              <w:t>“</w:t>
            </w:r>
            <w:r>
              <w:rPr>
                <w:rFonts w:cs="Times New Roman"/>
                <w:color w:val="auto"/>
                <w:sz w:val="18"/>
                <w:szCs w:val="18"/>
              </w:rPr>
              <w:t>公开</w:t>
            </w:r>
            <w:r>
              <w:rPr>
                <w:rFonts w:hint="eastAsia" w:cs="Times New Roman"/>
                <w:color w:val="auto"/>
                <w:sz w:val="18"/>
                <w:szCs w:val="18"/>
                <w:lang w:eastAsia="zh-CN"/>
              </w:rPr>
              <w:t>”“</w:t>
            </w:r>
            <w:r>
              <w:rPr>
                <w:rFonts w:cs="Times New Roman"/>
                <w:color w:val="auto"/>
                <w:sz w:val="18"/>
                <w:szCs w:val="18"/>
              </w:rPr>
              <w:t>限制公开</w:t>
            </w:r>
            <w:r>
              <w:rPr>
                <w:rFonts w:hint="eastAsia" w:cs="Times New Roman"/>
                <w:color w:val="auto"/>
                <w:sz w:val="18"/>
                <w:szCs w:val="18"/>
                <w:lang w:eastAsia="zh-CN"/>
              </w:rPr>
              <w:t>”</w:t>
            </w:r>
            <w:r>
              <w:rPr>
                <w:rFonts w:cs="Times New Roman"/>
                <w:color w:val="auto"/>
                <w:sz w:val="18"/>
                <w:szCs w:val="18"/>
              </w:rPr>
              <w:t>以及</w:t>
            </w:r>
            <w:r>
              <w:rPr>
                <w:rFonts w:hint="eastAsia" w:cs="Times New Roman"/>
                <w:color w:val="auto"/>
                <w:sz w:val="18"/>
                <w:szCs w:val="18"/>
                <w:lang w:eastAsia="zh-CN"/>
              </w:rPr>
              <w:t>“</w:t>
            </w:r>
            <w:r>
              <w:rPr>
                <w:rFonts w:cs="Times New Roman"/>
                <w:color w:val="auto"/>
                <w:sz w:val="18"/>
                <w:szCs w:val="18"/>
              </w:rPr>
              <w:t>不公开</w:t>
            </w:r>
            <w:r>
              <w:rPr>
                <w:rFonts w:hint="eastAsia" w:cs="Times New Roman"/>
                <w:color w:val="auto"/>
                <w:sz w:val="18"/>
                <w:szCs w:val="18"/>
                <w:lang w:eastAsia="zh-CN"/>
              </w:rPr>
              <w:t>”</w:t>
            </w:r>
            <w:r>
              <w:rPr>
                <w:rFonts w:cs="Times New Roman"/>
                <w:color w:val="auto"/>
                <w:sz w:val="18"/>
                <w:szCs w:val="18"/>
              </w:rPr>
              <w:t>三种类型，并按照相应的分类确定机构开放清单</w:t>
            </w:r>
            <w:r>
              <w:rPr>
                <w:rFonts w:hint="eastAsia" w:cs="Times New Roman"/>
                <w:color w:val="auto"/>
                <w:sz w:val="18"/>
                <w:szCs w:val="1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2007</w:t>
            </w:r>
          </w:p>
        </w:tc>
        <w:tc>
          <w:tcPr>
            <w:tcW w:w="1887" w:type="dxa"/>
            <w:vMerge w:val="restart"/>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美国国家科学基金会（NSF）</w:t>
            </w: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探索21世纪网络基础设施愿景</w:t>
            </w:r>
            <w:r>
              <w:rPr>
                <w:rFonts w:hint="eastAsia"/>
                <w:color w:val="auto"/>
                <w:vertAlign w:val="superscript"/>
              </w:rPr>
              <w:t>[2</w:t>
            </w:r>
            <w:r>
              <w:rPr>
                <w:rFonts w:hint="eastAsia"/>
                <w:color w:val="auto"/>
                <w:vertAlign w:val="superscript"/>
                <w:lang w:val="en-US" w:eastAsia="zh-CN"/>
              </w:rPr>
              <w:t>3</w:t>
            </w:r>
            <w:r>
              <w:rPr>
                <w:rFonts w:hint="eastAsia"/>
                <w:color w:val="auto"/>
                <w:vertAlign w:val="superscript"/>
              </w:rPr>
              <w:t>]</w:t>
            </w:r>
          </w:p>
        </w:tc>
        <w:tc>
          <w:tcPr>
            <w:tcW w:w="2985" w:type="dxa"/>
            <w:tcBorders>
              <w:tl2br w:val="nil"/>
              <w:tr2bl w:val="nil"/>
            </w:tcBorders>
          </w:tcPr>
          <w:p>
            <w:pPr>
              <w:spacing w:line="240" w:lineRule="auto"/>
              <w:ind w:firstLine="0" w:firstLineChars="0"/>
              <w:rPr>
                <w:rFonts w:cs="Times New Roman"/>
                <w:color w:val="auto"/>
                <w:sz w:val="18"/>
                <w:szCs w:val="18"/>
              </w:rPr>
            </w:pPr>
            <w:r>
              <w:rPr>
                <w:rFonts w:hint="eastAsia" w:cs="Times New Roman"/>
                <w:color w:val="auto"/>
                <w:sz w:val="18"/>
                <w:szCs w:val="18"/>
              </w:rPr>
              <w:t>推动信息获取、集成、可视化、大数据分析与存储等的新生代软件与技术的研究开发。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2011</w:t>
            </w:r>
          </w:p>
        </w:tc>
        <w:tc>
          <w:tcPr>
            <w:tcW w:w="1887" w:type="dxa"/>
            <w:vMerge w:val="continue"/>
            <w:tcBorders>
              <w:tl2br w:val="nil"/>
              <w:tr2bl w:val="nil"/>
            </w:tcBorders>
            <w:vAlign w:val="center"/>
          </w:tcPr>
          <w:p>
            <w:pPr>
              <w:spacing w:line="240" w:lineRule="auto"/>
              <w:ind w:firstLine="0" w:firstLineChars="0"/>
              <w:jc w:val="center"/>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传播</w:t>
            </w:r>
            <w:r>
              <w:rPr>
                <w:rFonts w:hint="eastAsia" w:cs="Times New Roman"/>
                <w:color w:val="auto"/>
                <w:sz w:val="18"/>
                <w:szCs w:val="18"/>
              </w:rPr>
              <w:t>与</w:t>
            </w:r>
            <w:r>
              <w:rPr>
                <w:rFonts w:cs="Times New Roman"/>
                <w:color w:val="auto"/>
                <w:sz w:val="18"/>
                <w:szCs w:val="18"/>
              </w:rPr>
              <w:t>共享研究成果</w:t>
            </w:r>
            <w:r>
              <w:rPr>
                <w:rFonts w:hint="eastAsia"/>
                <w:color w:val="auto"/>
                <w:vertAlign w:val="superscript"/>
              </w:rPr>
              <w:t>[2</w:t>
            </w:r>
            <w:r>
              <w:rPr>
                <w:rFonts w:hint="eastAsia"/>
                <w:color w:val="auto"/>
                <w:vertAlign w:val="superscript"/>
                <w:lang w:val="en-US" w:eastAsia="zh-CN"/>
              </w:rPr>
              <w:t>4</w:t>
            </w:r>
            <w:r>
              <w:rPr>
                <w:rFonts w:hint="eastAsia"/>
                <w:color w:val="auto"/>
                <w:vertAlign w:val="superscript"/>
              </w:rPr>
              <w:t>]</w:t>
            </w:r>
          </w:p>
        </w:tc>
        <w:tc>
          <w:tcPr>
            <w:tcW w:w="2985" w:type="dxa"/>
            <w:tcBorders>
              <w:tl2br w:val="nil"/>
              <w:tr2bl w:val="nil"/>
            </w:tcBorders>
          </w:tcPr>
          <w:p>
            <w:pPr>
              <w:spacing w:line="240" w:lineRule="auto"/>
              <w:ind w:firstLine="0" w:firstLineChars="0"/>
              <w:outlineLvl w:val="1"/>
              <w:rPr>
                <w:rFonts w:cs="Times New Roman"/>
                <w:color w:val="auto"/>
                <w:sz w:val="18"/>
                <w:szCs w:val="18"/>
              </w:rPr>
            </w:pPr>
            <w:r>
              <w:rPr>
                <w:rFonts w:hint="eastAsia" w:cs="Times New Roman"/>
                <w:color w:val="auto"/>
                <w:sz w:val="18"/>
                <w:szCs w:val="18"/>
              </w:rPr>
              <w:t>被NSF资助的项目需要的有项目数据、样品、实物信息、应用软件、项目资料等资料。</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2015</w:t>
            </w:r>
          </w:p>
        </w:tc>
        <w:tc>
          <w:tcPr>
            <w:tcW w:w="1887" w:type="dxa"/>
            <w:vMerge w:val="continue"/>
            <w:tcBorders>
              <w:tl2br w:val="nil"/>
              <w:tr2bl w:val="nil"/>
            </w:tcBorders>
            <w:vAlign w:val="center"/>
          </w:tcPr>
          <w:p>
            <w:pPr>
              <w:spacing w:line="240" w:lineRule="auto"/>
              <w:ind w:firstLine="0" w:firstLineChars="0"/>
              <w:jc w:val="center"/>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今天的数据，明天的发现——增加获得NSF资助的科研成果的机会</w:t>
            </w:r>
            <w:r>
              <w:rPr>
                <w:rFonts w:hint="eastAsia"/>
                <w:color w:val="auto"/>
                <w:vertAlign w:val="superscript"/>
              </w:rPr>
              <w:t>[25]</w:t>
            </w:r>
          </w:p>
        </w:tc>
        <w:tc>
          <w:tcPr>
            <w:tcW w:w="2985" w:type="dxa"/>
            <w:tcBorders>
              <w:tl2br w:val="nil"/>
              <w:tr2bl w:val="nil"/>
            </w:tcBorders>
          </w:tcPr>
          <w:p>
            <w:pPr>
              <w:spacing w:line="240" w:lineRule="auto"/>
              <w:ind w:firstLine="0" w:firstLineChars="0"/>
              <w:outlineLvl w:val="1"/>
              <w:rPr>
                <w:rFonts w:cs="Times New Roman"/>
                <w:color w:val="auto"/>
                <w:sz w:val="18"/>
                <w:szCs w:val="18"/>
              </w:rPr>
            </w:pPr>
            <w:r>
              <w:rPr>
                <w:rFonts w:hint="eastAsia" w:cs="Times New Roman"/>
                <w:color w:val="auto"/>
                <w:sz w:val="18"/>
                <w:szCs w:val="18"/>
              </w:rPr>
              <w:t>要求 NSF 资助的研究项目，其成</w:t>
            </w:r>
          </w:p>
          <w:p>
            <w:pPr>
              <w:spacing w:line="240" w:lineRule="auto"/>
              <w:ind w:firstLine="0" w:firstLineChars="0"/>
              <w:outlineLvl w:val="1"/>
              <w:rPr>
                <w:rFonts w:cs="Times New Roman"/>
                <w:color w:val="auto"/>
                <w:sz w:val="18"/>
                <w:szCs w:val="18"/>
              </w:rPr>
            </w:pPr>
            <w:r>
              <w:rPr>
                <w:rFonts w:hint="eastAsia" w:cs="Times New Roman"/>
                <w:color w:val="auto"/>
                <w:sz w:val="18"/>
                <w:szCs w:val="18"/>
              </w:rPr>
              <w:t>果（包括研究数据）需在首次发表后 12 个月内通过自存储方式保存并实现开放共享与利用。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2014</w:t>
            </w:r>
          </w:p>
        </w:tc>
        <w:tc>
          <w:tcPr>
            <w:tcW w:w="1887" w:type="dxa"/>
            <w:vMerge w:val="restart"/>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国家航天航空局（NASA）</w:t>
            </w: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加强科研成果的可获取性计划</w:t>
            </w:r>
            <w:r>
              <w:rPr>
                <w:rFonts w:hint="eastAsia"/>
                <w:color w:val="auto"/>
                <w:vertAlign w:val="superscript"/>
              </w:rPr>
              <w:t>[26]</w:t>
            </w:r>
          </w:p>
        </w:tc>
        <w:tc>
          <w:tcPr>
            <w:tcW w:w="2985" w:type="dxa"/>
            <w:tcBorders>
              <w:tl2br w:val="nil"/>
              <w:tr2bl w:val="nil"/>
            </w:tcBorders>
          </w:tcPr>
          <w:p>
            <w:pPr>
              <w:spacing w:line="240" w:lineRule="auto"/>
              <w:ind w:firstLine="0" w:firstLineChars="0"/>
              <w:rPr>
                <w:rFonts w:cs="Times New Roman"/>
                <w:color w:val="auto"/>
                <w:sz w:val="18"/>
                <w:szCs w:val="18"/>
              </w:rPr>
            </w:pPr>
            <w:r>
              <w:rPr>
                <w:rFonts w:hint="eastAsia" w:cs="Times New Roman"/>
                <w:color w:val="auto"/>
                <w:sz w:val="18"/>
                <w:szCs w:val="18"/>
              </w:rPr>
              <w:t>将范围由原美军国家航空暨太空总署的所有太空任务</w:t>
            </w:r>
            <w:r>
              <w:rPr>
                <w:rFonts w:hint="eastAsia" w:cs="Times New Roman"/>
                <w:color w:val="auto"/>
                <w:sz w:val="18"/>
                <w:szCs w:val="18"/>
                <w:lang w:eastAsia="zh-CN"/>
              </w:rPr>
              <w:t>，</w:t>
            </w:r>
            <w:r>
              <w:rPr>
                <w:rFonts w:hint="eastAsia" w:cs="Times New Roman"/>
                <w:color w:val="auto"/>
                <w:sz w:val="18"/>
                <w:szCs w:val="18"/>
              </w:rPr>
              <w:t>拓展至有其赞助以及部分资助的内部与对外合作研究计划</w:t>
            </w:r>
            <w:r>
              <w:rPr>
                <w:rFonts w:hint="eastAsia" w:cs="Times New Roman"/>
                <w:color w:val="auto"/>
                <w:sz w:val="18"/>
                <w:szCs w:val="18"/>
                <w:lang w:eastAsia="zh-CN"/>
              </w:rPr>
              <w:t>，</w:t>
            </w:r>
            <w:r>
              <w:rPr>
                <w:rFonts w:hint="eastAsia" w:cs="Times New Roman"/>
                <w:color w:val="auto"/>
                <w:sz w:val="18"/>
                <w:szCs w:val="18"/>
              </w:rPr>
              <w:t>以进一步扩大科学研究成果与数据的可获得性范围</w:t>
            </w:r>
            <w:r>
              <w:rPr>
                <w:rFonts w:hint="eastAsia" w:cs="Times New Roman"/>
                <w:color w:val="auto"/>
                <w:sz w:val="18"/>
                <w:szCs w:val="18"/>
                <w:lang w:eastAsia="zh-CN"/>
              </w:rPr>
              <w:t>，</w:t>
            </w:r>
            <w:r>
              <w:rPr>
                <w:rFonts w:hint="eastAsia" w:cs="Times New Roman"/>
                <w:color w:val="auto"/>
                <w:sz w:val="18"/>
                <w:szCs w:val="18"/>
              </w:rPr>
              <w:t>提高科研工作信息管理与保存工作的规范化</w:t>
            </w:r>
            <w:r>
              <w:rPr>
                <w:rFonts w:hint="eastAsia" w:cs="Times New Roman"/>
                <w:color w:val="auto"/>
                <w:sz w:val="18"/>
                <w:szCs w:val="18"/>
                <w:lang w:eastAsia="zh-CN"/>
              </w:rPr>
              <w:t>，</w:t>
            </w:r>
            <w:r>
              <w:rPr>
                <w:rFonts w:hint="eastAsia" w:cs="Times New Roman"/>
                <w:color w:val="auto"/>
                <w:sz w:val="18"/>
                <w:szCs w:val="18"/>
              </w:rPr>
              <w:t>并提高了科学研究成果的可验证性和可重复性。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hint="default" w:eastAsia="宋体" w:cs="Times New Roman"/>
                <w:color w:val="auto"/>
                <w:sz w:val="18"/>
                <w:szCs w:val="18"/>
                <w:lang w:val="en-US" w:eastAsia="zh-CN"/>
              </w:rPr>
            </w:pPr>
            <w:r>
              <w:rPr>
                <w:rFonts w:cs="Times New Roman"/>
                <w:color w:val="auto"/>
                <w:sz w:val="18"/>
                <w:szCs w:val="18"/>
              </w:rPr>
              <w:t>20</w:t>
            </w:r>
            <w:r>
              <w:rPr>
                <w:rFonts w:hint="eastAsia" w:cs="Times New Roman"/>
                <w:color w:val="auto"/>
                <w:sz w:val="18"/>
                <w:szCs w:val="18"/>
                <w:lang w:val="en-US" w:eastAsia="zh-CN"/>
              </w:rPr>
              <w:t>20</w:t>
            </w:r>
          </w:p>
        </w:tc>
        <w:tc>
          <w:tcPr>
            <w:tcW w:w="1887" w:type="dxa"/>
            <w:vMerge w:val="continue"/>
            <w:tcBorders>
              <w:tl2br w:val="nil"/>
              <w:tr2bl w:val="nil"/>
            </w:tcBorders>
            <w:vAlign w:val="center"/>
          </w:tcPr>
          <w:p>
            <w:pPr>
              <w:spacing w:line="240" w:lineRule="auto"/>
              <w:ind w:firstLine="0" w:firstLineChars="0"/>
              <w:jc w:val="center"/>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科学任务管理局开创性科学数据管理与计算策2019-2024</w:t>
            </w:r>
            <w:r>
              <w:rPr>
                <w:rFonts w:hint="eastAsia"/>
                <w:color w:val="auto"/>
                <w:vertAlign w:val="superscript"/>
              </w:rPr>
              <w:t>[27]</w:t>
            </w:r>
          </w:p>
        </w:tc>
        <w:tc>
          <w:tcPr>
            <w:tcW w:w="2985" w:type="dxa"/>
            <w:tcBorders>
              <w:tl2br w:val="nil"/>
              <w:tr2bl w:val="nil"/>
            </w:tcBorders>
          </w:tcPr>
          <w:p>
            <w:pPr>
              <w:spacing w:line="240" w:lineRule="auto"/>
              <w:ind w:firstLine="0" w:firstLineChars="0"/>
              <w:rPr>
                <w:rFonts w:cs="Times New Roman"/>
                <w:color w:val="auto"/>
                <w:sz w:val="18"/>
                <w:szCs w:val="18"/>
              </w:rPr>
            </w:pPr>
            <w:r>
              <w:rPr>
                <w:rFonts w:hint="eastAsia" w:cs="Times New Roman"/>
                <w:color w:val="auto"/>
                <w:sz w:val="18"/>
                <w:szCs w:val="18"/>
              </w:rPr>
              <w:t>让NASA的科研数据向所有人公开,从而为公众提供利益。</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2003</w:t>
            </w:r>
          </w:p>
        </w:tc>
        <w:tc>
          <w:tcPr>
            <w:tcW w:w="1887" w:type="dxa"/>
            <w:vMerge w:val="restart"/>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国立卫生研究院（NIH）</w:t>
            </w: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NIH 数据共享政策</w:t>
            </w:r>
            <w:r>
              <w:rPr>
                <w:rFonts w:hint="eastAsia"/>
                <w:color w:val="auto"/>
                <w:vertAlign w:val="superscript"/>
              </w:rPr>
              <w:t>[28]</w:t>
            </w:r>
          </w:p>
        </w:tc>
        <w:tc>
          <w:tcPr>
            <w:tcW w:w="2985" w:type="dxa"/>
            <w:tcBorders>
              <w:tl2br w:val="nil"/>
              <w:tr2bl w:val="nil"/>
            </w:tcBorders>
            <w:vAlign w:val="center"/>
          </w:tcPr>
          <w:p>
            <w:pPr>
              <w:spacing w:line="240" w:lineRule="auto"/>
              <w:ind w:firstLine="0" w:firstLineChars="0"/>
              <w:outlineLvl w:val="1"/>
              <w:rPr>
                <w:rFonts w:cs="Times New Roman"/>
                <w:color w:val="auto"/>
                <w:sz w:val="18"/>
                <w:szCs w:val="18"/>
              </w:rPr>
            </w:pPr>
            <w:r>
              <w:rPr>
                <w:rFonts w:hint="eastAsia" w:cs="Times New Roman"/>
                <w:color w:val="auto"/>
                <w:sz w:val="18"/>
                <w:szCs w:val="18"/>
              </w:rPr>
              <w:t>规定接受 50 万美元及以上的项目人员需提交数据共享计划或说明数据不可共享的原因。</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2014</w:t>
            </w:r>
          </w:p>
        </w:tc>
        <w:tc>
          <w:tcPr>
            <w:tcW w:w="1887" w:type="dxa"/>
            <w:vMerge w:val="continue"/>
            <w:tcBorders>
              <w:tl2br w:val="nil"/>
              <w:tr2bl w:val="nil"/>
            </w:tcBorders>
            <w:vAlign w:val="center"/>
          </w:tcPr>
          <w:p>
            <w:pPr>
              <w:spacing w:line="240" w:lineRule="auto"/>
              <w:ind w:firstLine="0" w:firstLineChars="0"/>
              <w:jc w:val="center"/>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基因组数据共享政策</w:t>
            </w:r>
            <w:r>
              <w:rPr>
                <w:rFonts w:hint="eastAsia"/>
                <w:color w:val="auto"/>
                <w:vertAlign w:val="superscript"/>
              </w:rPr>
              <w:t>[29]</w:t>
            </w:r>
          </w:p>
        </w:tc>
        <w:tc>
          <w:tcPr>
            <w:tcW w:w="2985" w:type="dxa"/>
            <w:tcBorders>
              <w:tl2br w:val="nil"/>
              <w:tr2bl w:val="nil"/>
            </w:tcBorders>
            <w:vAlign w:val="center"/>
          </w:tcPr>
          <w:p>
            <w:pPr>
              <w:spacing w:line="240" w:lineRule="auto"/>
              <w:ind w:firstLine="0" w:firstLineChars="0"/>
              <w:outlineLvl w:val="1"/>
              <w:rPr>
                <w:rFonts w:cs="Times New Roman"/>
                <w:color w:val="auto"/>
                <w:sz w:val="18"/>
                <w:szCs w:val="18"/>
              </w:rPr>
            </w:pPr>
            <w:r>
              <w:rPr>
                <w:rFonts w:hint="eastAsia" w:cs="Times New Roman"/>
                <w:color w:val="auto"/>
                <w:sz w:val="18"/>
                <w:szCs w:val="18"/>
              </w:rPr>
              <w:t>基于所有物种的大规模基因组数据建立了一个两级的数据发布系统——公开访问级别，以及受控访问级别，其数据仅供研究使用。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2015</w:t>
            </w:r>
          </w:p>
        </w:tc>
        <w:tc>
          <w:tcPr>
            <w:tcW w:w="1887" w:type="dxa"/>
            <w:vMerge w:val="continue"/>
            <w:tcBorders>
              <w:tl2br w:val="nil"/>
              <w:tr2bl w:val="nil"/>
            </w:tcBorders>
            <w:vAlign w:val="center"/>
          </w:tcPr>
          <w:p>
            <w:pPr>
              <w:spacing w:line="240" w:lineRule="auto"/>
              <w:ind w:firstLine="0" w:firstLineChars="0"/>
              <w:jc w:val="center"/>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促进从NIH资助的科学研究中获取科学出版物和数字科学数据计划</w:t>
            </w:r>
            <w:r>
              <w:rPr>
                <w:rFonts w:hint="eastAsia"/>
                <w:color w:val="auto"/>
                <w:vertAlign w:val="superscript"/>
              </w:rPr>
              <w:t>[30]</w:t>
            </w:r>
          </w:p>
        </w:tc>
        <w:tc>
          <w:tcPr>
            <w:tcW w:w="2985" w:type="dxa"/>
            <w:tcBorders>
              <w:tl2br w:val="nil"/>
              <w:tr2bl w:val="nil"/>
            </w:tcBorders>
            <w:vAlign w:val="center"/>
          </w:tcPr>
          <w:p>
            <w:pPr>
              <w:spacing w:line="240" w:lineRule="auto"/>
              <w:ind w:firstLine="0" w:firstLineChars="0"/>
              <w:outlineLvl w:val="1"/>
              <w:rPr>
                <w:rFonts w:cs="Times New Roman"/>
                <w:color w:val="auto"/>
                <w:sz w:val="18"/>
                <w:szCs w:val="18"/>
              </w:rPr>
            </w:pPr>
            <w:r>
              <w:rPr>
                <w:rFonts w:hint="eastAsia" w:cs="Times New Roman"/>
                <w:color w:val="auto"/>
                <w:sz w:val="18"/>
                <w:szCs w:val="18"/>
              </w:rPr>
              <w:t>完全或部分由联邦资金支持的非机密研究产生的美国国家、国土和经济安全数字格式科学数据应存储并公开可供搜索、检索和分析。通过促进科学数据的共享，增加科学研究的投资回报，从而促进科学的发展。</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2016</w:t>
            </w:r>
          </w:p>
        </w:tc>
        <w:tc>
          <w:tcPr>
            <w:tcW w:w="1887" w:type="dxa"/>
            <w:vMerge w:val="continue"/>
            <w:tcBorders>
              <w:tl2br w:val="nil"/>
              <w:tr2bl w:val="nil"/>
            </w:tcBorders>
            <w:vAlign w:val="center"/>
          </w:tcPr>
          <w:p>
            <w:pPr>
              <w:spacing w:line="240" w:lineRule="auto"/>
              <w:ind w:firstLine="0" w:firstLineChars="0"/>
              <w:jc w:val="center"/>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关于传播 NIH 资助的临床试验信息的政策</w:t>
            </w:r>
            <w:r>
              <w:rPr>
                <w:rFonts w:hint="eastAsia"/>
                <w:color w:val="auto"/>
                <w:vertAlign w:val="superscript"/>
              </w:rPr>
              <w:t>[31]</w:t>
            </w:r>
          </w:p>
        </w:tc>
        <w:tc>
          <w:tcPr>
            <w:tcW w:w="2985" w:type="dxa"/>
            <w:tcBorders>
              <w:tl2br w:val="nil"/>
              <w:tr2bl w:val="nil"/>
            </w:tcBorders>
            <w:vAlign w:val="center"/>
          </w:tcPr>
          <w:p>
            <w:pPr>
              <w:spacing w:line="240" w:lineRule="auto"/>
              <w:ind w:firstLine="0" w:firstLineChars="0"/>
              <w:outlineLvl w:val="1"/>
              <w:rPr>
                <w:rFonts w:cs="Times New Roman"/>
                <w:color w:val="auto"/>
                <w:sz w:val="18"/>
                <w:szCs w:val="18"/>
              </w:rPr>
            </w:pPr>
            <w:r>
              <w:rPr>
                <w:rFonts w:hint="eastAsia" w:cs="Times New Roman"/>
                <w:color w:val="auto"/>
                <w:sz w:val="18"/>
                <w:szCs w:val="18"/>
              </w:rPr>
              <w:t>为了通过clinicalTrialsgov促进NIH资助的临床试验信息广泛和负责任的传播。该政策规定全部或部分由NIH资助的临床试验的研究者将确保这些试验在clinicalTrialsgov上注册，并将这些试验的结果信息提交给ClinicalTrialsgov。</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2022</w:t>
            </w:r>
          </w:p>
        </w:tc>
        <w:tc>
          <w:tcPr>
            <w:tcW w:w="1887" w:type="dxa"/>
            <w:vMerge w:val="continue"/>
            <w:tcBorders>
              <w:tl2br w:val="nil"/>
              <w:tr2bl w:val="nil"/>
            </w:tcBorders>
            <w:vAlign w:val="center"/>
          </w:tcPr>
          <w:p>
            <w:pPr>
              <w:spacing w:line="240" w:lineRule="auto"/>
              <w:ind w:firstLine="0" w:firstLineChars="0"/>
              <w:jc w:val="center"/>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公开共享数据</w:t>
            </w:r>
          </w:p>
        </w:tc>
        <w:tc>
          <w:tcPr>
            <w:tcW w:w="2985" w:type="dxa"/>
            <w:tcBorders>
              <w:tl2br w:val="nil"/>
              <w:tr2bl w:val="nil"/>
            </w:tcBorders>
            <w:vAlign w:val="center"/>
          </w:tcPr>
          <w:p>
            <w:pPr>
              <w:spacing w:line="240" w:lineRule="auto"/>
              <w:ind w:firstLine="0" w:firstLineChars="0"/>
              <w:outlineLvl w:val="1"/>
              <w:rPr>
                <w:rFonts w:cs="Times New Roman"/>
                <w:color w:val="auto"/>
                <w:sz w:val="18"/>
                <w:szCs w:val="18"/>
              </w:rPr>
            </w:pPr>
            <w:r>
              <w:rPr>
                <w:rFonts w:hint="eastAsia" w:cs="Times New Roman"/>
                <w:color w:val="auto"/>
                <w:sz w:val="18"/>
                <w:szCs w:val="18"/>
              </w:rPr>
              <w:t>要求其每年资助的机构在其资助申请中需要包含数据管理计划，并最终公开他们的数据。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2022</w:t>
            </w:r>
          </w:p>
        </w:tc>
        <w:tc>
          <w:tcPr>
            <w:tcW w:w="1887"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美国人文科学基金（NEH)</w:t>
            </w: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sz w:val="18"/>
                <w:szCs w:val="18"/>
              </w:rPr>
              <w:t>NEH公平行动计划</w:t>
            </w:r>
            <w:r>
              <w:rPr>
                <w:rFonts w:hint="eastAsia"/>
                <w:color w:val="auto"/>
                <w:vertAlign w:val="superscript"/>
              </w:rPr>
              <w:t>[3</w:t>
            </w:r>
            <w:r>
              <w:rPr>
                <w:rFonts w:hint="eastAsia"/>
                <w:color w:val="auto"/>
                <w:vertAlign w:val="superscript"/>
                <w:lang w:val="en-US" w:eastAsia="zh-CN"/>
              </w:rPr>
              <w:t>2</w:t>
            </w:r>
            <w:r>
              <w:rPr>
                <w:rFonts w:hint="eastAsia"/>
                <w:color w:val="auto"/>
                <w:vertAlign w:val="superscript"/>
              </w:rPr>
              <w:t>]</w:t>
            </w:r>
          </w:p>
        </w:tc>
        <w:tc>
          <w:tcPr>
            <w:tcW w:w="2985" w:type="dxa"/>
            <w:tcBorders>
              <w:tl2br w:val="nil"/>
              <w:tr2bl w:val="nil"/>
            </w:tcBorders>
            <w:vAlign w:val="center"/>
          </w:tcPr>
          <w:p>
            <w:pPr>
              <w:spacing w:line="240" w:lineRule="auto"/>
              <w:ind w:firstLine="0" w:firstLineChars="0"/>
              <w:rPr>
                <w:rFonts w:hint="eastAsia" w:eastAsia="宋体" w:cs="Times New Roman"/>
                <w:color w:val="auto"/>
                <w:sz w:val="18"/>
                <w:szCs w:val="18"/>
                <w:lang w:eastAsia="zh-CN"/>
              </w:rPr>
            </w:pPr>
            <w:r>
              <w:rPr>
                <w:rFonts w:cs="Times New Roman"/>
                <w:color w:val="auto"/>
                <w:sz w:val="18"/>
                <w:szCs w:val="18"/>
              </w:rPr>
              <w:t>确保和最大限度地提高由NEH传播的信息的质量、客观性、实用性和完整性的指导方针</w:t>
            </w:r>
            <w:r>
              <w:rPr>
                <w:rFonts w:hint="eastAsia" w:cs="Times New Roman"/>
                <w:color w:val="auto"/>
                <w:sz w:val="18"/>
                <w:szCs w:val="18"/>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cs="Times New Roman"/>
                <w:color w:val="auto"/>
              </w:rPr>
              <w:t>1996</w:t>
            </w:r>
          </w:p>
        </w:tc>
        <w:tc>
          <w:tcPr>
            <w:tcW w:w="1887"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美国卫生与公众服务部（HHS）</w:t>
            </w: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《1996年健康保险携带和责任法案》</w:t>
            </w:r>
          </w:p>
        </w:tc>
        <w:tc>
          <w:tcPr>
            <w:tcW w:w="2985" w:type="dxa"/>
            <w:tcBorders>
              <w:tl2br w:val="nil"/>
              <w:tr2bl w:val="nil"/>
            </w:tcBorders>
            <w:vAlign w:val="center"/>
          </w:tcPr>
          <w:p>
            <w:pPr>
              <w:spacing w:line="240" w:lineRule="auto"/>
              <w:ind w:firstLine="0" w:firstLineChars="0"/>
              <w:outlineLvl w:val="1"/>
              <w:rPr>
                <w:rFonts w:cs="Times New Roman"/>
                <w:color w:val="auto"/>
                <w:sz w:val="18"/>
                <w:szCs w:val="18"/>
              </w:rPr>
            </w:pPr>
            <w:r>
              <w:rPr>
                <w:rFonts w:hint="eastAsia" w:cs="Times New Roman"/>
                <w:color w:val="auto"/>
                <w:sz w:val="18"/>
                <w:szCs w:val="18"/>
              </w:rPr>
              <w:t>确保健康信息的安全性和隐私性，要求HHS采用国家标准处理电子健康信息。同时要求HHs在HIPAA 中纳入对个人健康信息的隐私保护条款。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2014</w:t>
            </w:r>
          </w:p>
        </w:tc>
        <w:tc>
          <w:tcPr>
            <w:tcW w:w="1887"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美国科学公共图书馆（(Public Library of Science,Plos）</w:t>
            </w:r>
          </w:p>
        </w:tc>
        <w:tc>
          <w:tcPr>
            <w:tcW w:w="2590" w:type="dxa"/>
            <w:tcBorders>
              <w:tl2br w:val="nil"/>
              <w:tr2bl w:val="nil"/>
            </w:tcBorders>
            <w:vAlign w:val="center"/>
          </w:tcPr>
          <w:p>
            <w:pPr>
              <w:spacing w:line="240" w:lineRule="auto"/>
              <w:ind w:firstLine="0" w:firstLineChars="0"/>
              <w:jc w:val="center"/>
              <w:outlineLvl w:val="1"/>
              <w:rPr>
                <w:rFonts w:cs="Times New Roman"/>
                <w:color w:val="auto"/>
                <w:sz w:val="18"/>
                <w:szCs w:val="18"/>
              </w:rPr>
            </w:pPr>
            <w:r>
              <w:rPr>
                <w:rFonts w:hint="eastAsia" w:cs="Times New Roman"/>
                <w:color w:val="auto"/>
                <w:sz w:val="18"/>
                <w:szCs w:val="18"/>
              </w:rPr>
              <w:t>《PLOS数据可利用性》</w:t>
            </w:r>
            <w:r>
              <w:rPr>
                <w:rFonts w:hint="eastAsia"/>
                <w:color w:val="auto"/>
                <w:vertAlign w:val="superscript"/>
              </w:rPr>
              <w:t>[3</w:t>
            </w:r>
            <w:r>
              <w:rPr>
                <w:rFonts w:hint="eastAsia"/>
                <w:color w:val="auto"/>
                <w:vertAlign w:val="superscript"/>
                <w:lang w:val="en-US" w:eastAsia="zh-CN"/>
              </w:rPr>
              <w:t>3</w:t>
            </w:r>
            <w:r>
              <w:rPr>
                <w:rFonts w:hint="eastAsia"/>
                <w:color w:val="auto"/>
                <w:vertAlign w:val="superscript"/>
              </w:rPr>
              <w:t>]</w:t>
            </w:r>
          </w:p>
        </w:tc>
        <w:tc>
          <w:tcPr>
            <w:tcW w:w="2985" w:type="dxa"/>
            <w:tcBorders>
              <w:tl2br w:val="nil"/>
              <w:tr2bl w:val="nil"/>
            </w:tcBorders>
            <w:vAlign w:val="center"/>
          </w:tcPr>
          <w:p>
            <w:pPr>
              <w:spacing w:line="240" w:lineRule="auto"/>
              <w:ind w:firstLine="0" w:firstLineChars="0"/>
              <w:outlineLvl w:val="1"/>
              <w:rPr>
                <w:rFonts w:cs="Times New Roman"/>
                <w:color w:val="auto"/>
                <w:sz w:val="18"/>
                <w:szCs w:val="18"/>
              </w:rPr>
            </w:pPr>
            <w:r>
              <w:rPr>
                <w:rFonts w:hint="eastAsia" w:cs="Times New Roman"/>
                <w:color w:val="auto"/>
                <w:sz w:val="18"/>
                <w:szCs w:val="18"/>
              </w:rPr>
              <w:t>管鼓励作者直接将数据存储在适当的存储库中，并允许广泛传播，最大限度地提高数据的可访问性和可重用性。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2015</w:t>
            </w:r>
          </w:p>
        </w:tc>
        <w:tc>
          <w:tcPr>
            <w:tcW w:w="1887"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国家海洋与</w:t>
            </w:r>
          </w:p>
          <w:p>
            <w:pPr>
              <w:spacing w:line="240" w:lineRule="auto"/>
              <w:ind w:firstLine="0" w:firstLineChars="0"/>
              <w:jc w:val="center"/>
              <w:rPr>
                <w:rFonts w:cs="Times New Roman"/>
                <w:color w:val="auto"/>
                <w:sz w:val="18"/>
                <w:szCs w:val="18"/>
              </w:rPr>
            </w:pPr>
            <w:r>
              <w:rPr>
                <w:rFonts w:cs="Times New Roman"/>
                <w:color w:val="auto"/>
                <w:sz w:val="18"/>
                <w:szCs w:val="18"/>
              </w:rPr>
              <w:t>大气管理局</w:t>
            </w:r>
          </w:p>
          <w:p>
            <w:pPr>
              <w:spacing w:line="240" w:lineRule="auto"/>
              <w:ind w:firstLine="0" w:firstLineChars="0"/>
              <w:jc w:val="center"/>
              <w:rPr>
                <w:rFonts w:cs="Times New Roman"/>
                <w:color w:val="auto"/>
                <w:sz w:val="18"/>
                <w:szCs w:val="18"/>
              </w:rPr>
            </w:pPr>
            <w:r>
              <w:rPr>
                <w:rFonts w:cs="Times New Roman"/>
                <w:color w:val="auto"/>
                <w:sz w:val="18"/>
                <w:szCs w:val="18"/>
              </w:rPr>
              <w:t>（NOAA</w:t>
            </w:r>
            <w:r>
              <w:rPr>
                <w:rFonts w:hint="eastAsia" w:cs="Times New Roman"/>
                <w:color w:val="auto"/>
                <w:sz w:val="18"/>
                <w:szCs w:val="18"/>
              </w:rPr>
              <w:t>)</w:t>
            </w:r>
          </w:p>
        </w:tc>
        <w:tc>
          <w:tcPr>
            <w:tcW w:w="2590"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NOAA 促进公众获取研究成果计划</w:t>
            </w:r>
          </w:p>
        </w:tc>
        <w:tc>
          <w:tcPr>
            <w:tcW w:w="2985" w:type="dxa"/>
            <w:tcBorders>
              <w:tl2br w:val="nil"/>
              <w:tr2bl w:val="nil"/>
            </w:tcBorders>
            <w:vAlign w:val="center"/>
          </w:tcPr>
          <w:p>
            <w:pPr>
              <w:spacing w:line="240" w:lineRule="auto"/>
              <w:ind w:firstLine="0" w:firstLineChars="0"/>
              <w:outlineLvl w:val="1"/>
              <w:rPr>
                <w:rFonts w:cs="Times New Roman"/>
                <w:color w:val="auto"/>
                <w:sz w:val="18"/>
                <w:szCs w:val="18"/>
              </w:rPr>
            </w:pPr>
            <w:r>
              <w:rPr>
                <w:rFonts w:hint="eastAsia" w:cs="Times New Roman"/>
                <w:color w:val="auto"/>
                <w:sz w:val="18"/>
                <w:szCs w:val="18"/>
              </w:rPr>
              <w:t>计划要求一年内受资助的研究人员使数据“可见和可访问”。研究数据将采用机构数据库存储，全面开发和利用元数据标准，要求数据基于特定ISO标准使用结构化元数据。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2002</w:t>
            </w:r>
          </w:p>
        </w:tc>
        <w:tc>
          <w:tcPr>
            <w:tcW w:w="1887" w:type="dxa"/>
            <w:vMerge w:val="restart"/>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地质调查局</w:t>
            </w:r>
          </w:p>
          <w:p>
            <w:pPr>
              <w:spacing w:line="240" w:lineRule="auto"/>
              <w:ind w:firstLine="0" w:firstLineChars="0"/>
              <w:jc w:val="center"/>
              <w:rPr>
                <w:rFonts w:cs="Times New Roman"/>
                <w:color w:val="auto"/>
                <w:sz w:val="18"/>
                <w:szCs w:val="18"/>
              </w:rPr>
            </w:pPr>
            <w:r>
              <w:rPr>
                <w:rFonts w:cs="Times New Roman"/>
                <w:color w:val="auto"/>
                <w:sz w:val="18"/>
                <w:szCs w:val="18"/>
              </w:rPr>
              <w:t>（USGS）</w:t>
            </w:r>
          </w:p>
        </w:tc>
        <w:tc>
          <w:tcPr>
            <w:tcW w:w="2590"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USGS 信息质量指南</w:t>
            </w:r>
            <w:r>
              <w:rPr>
                <w:rFonts w:hint="eastAsia"/>
                <w:color w:val="auto"/>
                <w:vertAlign w:val="superscript"/>
              </w:rPr>
              <w:t>[3</w:t>
            </w:r>
            <w:r>
              <w:rPr>
                <w:rFonts w:hint="eastAsia"/>
                <w:color w:val="auto"/>
                <w:vertAlign w:val="superscript"/>
                <w:lang w:val="en-US" w:eastAsia="zh-CN"/>
              </w:rPr>
              <w:t>4</w:t>
            </w:r>
            <w:r>
              <w:rPr>
                <w:rFonts w:hint="eastAsia"/>
                <w:color w:val="auto"/>
                <w:vertAlign w:val="superscript"/>
              </w:rPr>
              <w:t>]</w:t>
            </w:r>
          </w:p>
        </w:tc>
        <w:tc>
          <w:tcPr>
            <w:tcW w:w="2985" w:type="dxa"/>
            <w:tcBorders>
              <w:tl2br w:val="nil"/>
              <w:tr2bl w:val="nil"/>
            </w:tcBorders>
            <w:vAlign w:val="center"/>
          </w:tcPr>
          <w:p>
            <w:pPr>
              <w:spacing w:line="240" w:lineRule="auto"/>
              <w:ind w:firstLine="0" w:firstLineChars="0"/>
              <w:outlineLvl w:val="1"/>
              <w:rPr>
                <w:rFonts w:cs="Times New Roman"/>
                <w:color w:val="auto"/>
                <w:sz w:val="18"/>
                <w:szCs w:val="18"/>
              </w:rPr>
            </w:pPr>
            <w:r>
              <w:rPr>
                <w:rFonts w:hint="eastAsia" w:cs="Times New Roman"/>
                <w:color w:val="auto"/>
                <w:sz w:val="18"/>
                <w:szCs w:val="18"/>
              </w:rPr>
              <w:t>美国地质调查局的数据收集和研究活动以一致、客观和可复制的方式进行，并通过有力和公开的同行评审过程进行审查，以确保取得最佳结果，确保数据或结论中没有弱点或错误。美国地质勘探局的科学信息在数据和方法上是高度透明的，以方便其他合格的科学家复制这些信息。</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1"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2015</w:t>
            </w:r>
          </w:p>
        </w:tc>
        <w:tc>
          <w:tcPr>
            <w:tcW w:w="1887" w:type="dxa"/>
            <w:vMerge w:val="continue"/>
            <w:tcBorders>
              <w:tl2br w:val="nil"/>
              <w:tr2bl w:val="nil"/>
            </w:tcBorders>
          </w:tcPr>
          <w:p>
            <w:pPr>
              <w:spacing w:line="240" w:lineRule="auto"/>
              <w:ind w:firstLine="0" w:firstLineChars="0"/>
              <w:jc w:val="center"/>
              <w:rPr>
                <w:rFonts w:cs="Times New Roman"/>
                <w:color w:val="auto"/>
                <w:sz w:val="18"/>
                <w:szCs w:val="18"/>
              </w:rPr>
            </w:pPr>
          </w:p>
        </w:tc>
        <w:tc>
          <w:tcPr>
            <w:tcW w:w="2590"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公众获得联邦资助的USGS研究成果</w:t>
            </w:r>
          </w:p>
        </w:tc>
        <w:tc>
          <w:tcPr>
            <w:tcW w:w="2985" w:type="dxa"/>
            <w:tcBorders>
              <w:tl2br w:val="nil"/>
              <w:tr2bl w:val="nil"/>
            </w:tcBorders>
          </w:tcPr>
          <w:p>
            <w:pPr>
              <w:spacing w:line="240" w:lineRule="auto"/>
              <w:ind w:firstLine="0" w:firstLineChars="0"/>
              <w:outlineLvl w:val="1"/>
              <w:rPr>
                <w:rFonts w:cs="Times New Roman"/>
                <w:color w:val="auto"/>
                <w:sz w:val="18"/>
                <w:szCs w:val="18"/>
              </w:rPr>
            </w:pPr>
            <w:r>
              <w:rPr>
                <w:rFonts w:hint="eastAsia" w:cs="Times New Roman"/>
                <w:color w:val="auto"/>
                <w:sz w:val="18"/>
                <w:szCs w:val="18"/>
              </w:rPr>
              <w:t>用于支持学术出版物中结论的科学数据将在相关学术出版物发布的同时或之前免费提供给公众，除非该机构确定证明的情况限制了数据的公开，例如，在由于安全、隐私、保密或其他限制而必须限制访问的情况下。科学数据遵循数据管理计划</w:t>
            </w:r>
            <w:r>
              <w:rPr>
                <w:rFonts w:hint="eastAsia" w:cs="Times New Roman"/>
                <w:color w:val="auto"/>
                <w:sz w:val="18"/>
                <w:szCs w:val="18"/>
                <w:lang w:eastAsia="zh-CN"/>
              </w:rPr>
              <w:t>（</w:t>
            </w:r>
            <w:r>
              <w:rPr>
                <w:rFonts w:hint="eastAsia" w:cs="Times New Roman"/>
                <w:color w:val="auto"/>
                <w:sz w:val="18"/>
                <w:szCs w:val="18"/>
              </w:rPr>
              <w:t>DMP</w:t>
            </w:r>
            <w:r>
              <w:rPr>
                <w:rFonts w:hint="eastAsia" w:cs="Times New Roman"/>
                <w:color w:val="auto"/>
                <w:sz w:val="18"/>
                <w:szCs w:val="18"/>
                <w:lang w:eastAsia="zh-CN"/>
              </w:rPr>
              <w:t>）</w:t>
            </w:r>
            <w:r>
              <w:rPr>
                <w:rFonts w:hint="eastAsia" w:cs="Times New Roman"/>
                <w:color w:val="auto"/>
                <w:sz w:val="18"/>
                <w:szCs w:val="18"/>
              </w:rPr>
              <w:t>的要求，详细说明了获取方法、质量保证、安全性、处置以及限制公众访问的情况。</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ind w:firstLine="420"/>
      </w:pPr>
      <w:r>
        <w:separator/>
      </w:r>
    </w:p>
  </w:footnote>
  <w:footnote w:type="continuationSeparator" w:id="1">
    <w:p>
      <w:pPr>
        <w:spacing w:line="276"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kZjYyZTVkMDZmOWEyYmUzM2Y0ZDhiMDJlZTBlMTcifQ=="/>
  </w:docVars>
  <w:rsids>
    <w:rsidRoot w:val="09C17225"/>
    <w:rsid w:val="09C17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883" w:firstLineChars="200"/>
      <w:jc w:val="both"/>
    </w:pPr>
    <w:rPr>
      <w:rFonts w:ascii="Times New Roman" w:hAnsi="Times New Roman" w:eastAsia="宋体" w:cstheme="minorBidi"/>
      <w:color w:val="000000" w:themeColor="text1"/>
      <w:kern w:val="2"/>
      <w:sz w:val="21"/>
      <w:szCs w:val="24"/>
      <w:lang w:val="en-US" w:eastAsia="zh-CN" w:bidi="ar-SA"/>
      <w14:textFill>
        <w14:solidFill>
          <w14:schemeClr w14:val="tx1"/>
        </w14:solidFill>
      </w14:textFill>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2023-08-24T02:49:00Z</dcterms:created>
  <dc:creator>文档存本地丢失不负责</dc:creator>
  <cp:lastModifiedBy>文档存本地丢失不负责</cp:lastModifiedBy>
  <dcterms:modified xsi:type="dcterms:W3CDTF">2023-08-24T02:51:07Z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453A752F148F4507B20A7F0EBB3E8BE6_11</vt:lpwstr>
  </property>
</Properties>
</file>