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青藏高原五道梁气象观测数据（2006年）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Wudaoliang on the Qinghai Tibet Plateau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10.12072/casnw.016.2017.db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2006年1月1日-12月31日五道梁气象观测数据。有两个表30分钟输出数据和日输出数据，测量指标包含时_分、向下短波辐射(w/㎡)、向上短波辐射(w/㎡)、向下长波辐射(w/㎡)、向上长波辐射(w/㎡)、净辐射(w/㎡)、3m风速(m/s) 3m风向(度) 风向标准偏差1 5m风速(m/s)、5m风向(度)、风向标准偏差2、15m风速(m/s)、15m风向(度)、风向标准偏差3、30m风速(m/s)、30m风向(度)、风向标准偏差4 3m空气温度(℃)、5m空气温度(℃) 15m空气温度(℃)、30m空气温度(℃)、3m空气湿度(％)、5m空气湿度(％)、15m空气湿度(％)、30m空气湿度(％)、3m空气水气压(KP)、5m空气水气压(KP)、15m空气水气压(KP)、30m空气水气压(KP)、大气压(P)。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观测, 青藏高原, 多年冻土,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史健宗,赵林. 青藏高原五道梁气象观测数据（2006年）. 国家冰川冻土沙漠科学数据中心(http://www.ncdc.ac.cn), 2021. https://cstr.cn/CSTR:11738.11.ncdc.nieer.2020.1167.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