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渭河流域各地区环境投资统计数据（2003-2017年）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environmental investment in Weihe River Basin (2003-2017)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10.12072/ncdc.WRiver.db0006.2021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  本数据集主要收集了渭河流域各地区（以省级为单位，含陕西省、甘肃省、宁夏回族自治区）2003～2017年环境投资数据。数据主要来源于《中国环境统计年鉴》。   数据集命名：各地区环境污染治理投资情况.xlsx、各地区城镇环境基础设施建设投资情况.xlsx、各地区工业污染治理投资完成情况.xlsx、各地区林业投资资金来源情况.xlsx、各地区林业投资完成情况.xlsx。   数据统计信息：   1.各地区环境污染治理投资情况统计信息：   地区：陕西省、甘肃省、宁夏回族自治区。   年份：2003-2017。   环境污染治理投资总额（包括城镇环境基础设施建设投资、工业污染源治理投资、当年完成环保验收项目环保投资）（亿元）；环境污染治理投资占GDP比重(%)。   2.各地区城镇环境基础设施建设投资情况统计信息：   地区：陕西省、甘肃省、宁夏回族自治区。   年份：2003-2017。   各地区城镇环境基础设施建设投资情况：投资总额（包括燃气、集中供热、排水、园林绿化、市容环境卫生），单位：亿元。   3.各地区工业污染治理投资完成情况统计信息：   地区：陕西省、甘肃省、宁夏回族自治区。   年份：2003-2017。   污染治理项目本年完成投资（包括治理废水、治理废气、治理固体废物、治理噪声、治理其他），单位：万元。   4.各地区林业投资资金来源情况统计信息：   地区：陕西省、甘肃省、宁夏回族自治区。   年份：2003-2012。   合计（万元）；上年末结余资金（万元）；本年资金来源（包括国家预算资金、国内贷款、利用外资、自筹资金、其他资金）（万元）。   5.各地区林业投资完成情况统计信息：   地区：陕西省、甘肃省、宁夏回族自治区。   年份：2003-2017。   本年完成林业投资（包括国家投资、生态建设与保护、林业支撑与保障、林业民生工程、林业产业发展、其他），单位：万元。   数据集中每个工作表分别为渭河流域各地区投资数据数据，详细数据记录在表格中。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  数据来源《中国环境统计年鉴》。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  人工采集并经过二次校对。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渭河流域,陕西省,甘肃省,宁夏回族自治区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3903.0m-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322.0m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63.1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工业污染, 环境污染, 林业投资, 林业投资资金来源, 环境投资, 城镇环境基础设施建设投资, 统计公报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渭河流域各地区环境投资统计数据（2003-2017年）. 国家冰川冻土沙漠科学数据中心(http://www.ncdc.ac.cn), 2021. https://cstr.cn/CSTR:11738.11.ncdc.WRiver.2021.4.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