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黑河生态水文遥感试验：水文气象观测网数据集（阿柔超级站涡动相关仪-2014年）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test: hydrometeorological observation network data set (ARJO super station eddy correlator-2014)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  该数据集包含了2014年1月19日至2014年12月31日的黑河水文气象观测网上游阿柔超级站的涡动相关仪观测数据。   站点位于青海省祁连县阿柔乡草达坂村，下垫面是高寒草地。观测点的经纬度是100.4643E, 38.0473N，海拔3033m。涡动相关仪的架高3.5m，采样频率是10Hz，超声朝向是正北向，超声风速温度仪（CSAT3）与CO2/H2O分析仪（Li7500A）之间的距离是15cm。   涡动相关仪的原始观测数据为10Hz，发布的数据是采用Eddypro软件处理的30分钟数据，其处理的主要步骤包括：   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   （1）剔除仪器出错时的数据；   （2）剔除降水前后1h的数据；   （3）剔除10Hz原始数据中每30min内缺失率大于10%的数据；   （4）剔除夜间弱湍流的观测数据（u小于0.1m/s）。   观测数据的平均周期为30分钟，一天48个数据，缺失数据标记为-6999。因仪器漂移等原因引起的可疑数据用红色字体标识，其中1月1-1月18日由于采集器损坏，导致数据缺失。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其余为2）。数据时间的含义，如0:30代表0:00-0:30的平均；数据以.xls格式存储。   水文气象网或站点信息请参考Liu et al. (2018)，观测数据处理请参考Liu et al.(2011)。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  站点位于青海省祁连县阿柔乡草达坂村，下垫面是高寒草地。观测点的经纬度是100.4643E, 38.0473N，海拔3033m。  涡动相关仪的架高3.5m，采样频率是10Hz，超声朝向是正北向，超声风速温度仪（CSAT3）与CO2/H2O分析仪（Li7500A）之间的距离是15cm。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dypro软件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   （1）剔除仪器出错时的数据；   （2）剔除降水前后1h的数据；   （3）剔除10Hz原始数据中每30min内缺失率大于10%的数据；   （4）剔除夜间弱湍流的观测数据（u*小于0.1m/s）。   观测数据的平均周期为30分钟，一天48个数据，缺失数据标记为-6999。因仪器漂移等原因引起的可疑数据用红色字体标识。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1月1-1月18日由于采集器损坏，导致数据缺失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其余为2）。  数据时间的含义，如0:30代表0:00-0:30的平均；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2014/01/19-2014/12/31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感热通量, 潜热通量, 二氧化碳通量, 高寒草地,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阿柔超级站,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  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徐自为,刘绍民. 黑河生态水文遥感试验：水文气象观测网数据集（阿柔超级站涡动相关仪-2014年）. 国家冰川冻土沙漠科学数据中心(http://www.ncdc.ac.cn), 2021. https://cstr.cn/CSTR:11738.11.ncdc.nieer.2020.1581.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