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中巴经济走廊逐年荒漠化分布数据集（2000-2017年）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desertification distribution data set of China Pakistan Economic Corridor (2000-2017)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10.12072/casnw.046.2018.db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本数据以2000年-2017年MODIS的植被指数MOD13A3和Albedo MCD43A3数据产品为数据源，数据分辩率为1KM，月合成，利用MRT工具，进行数据拼接、投影转换等影像处理，再利用中巴经济走廊区域边界，采用Python批量裁剪，采用荒漠化差值指数（DDI）评价中巴经济走廊荒漠化程度，以归一化植被指数（NDVI）与地表反照率（Albedo）为监测指标，通过构造Albedo-NDVI特征空间，并利用Albedo和NDVI之间负相关的关系，构建DDI公式，完成2000–2017年中巴经济走廊荒漠化分类专题数据集，直观反映中巴经济走廊荒漠化程度，为定量评价荒漠化严重程度提供参考。该数据可为中巴经济走廊区域科学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涉及MOD13A3和MCD43A3数据包括：h23v04、h23v05、h23v06、h24v04、h24v05、h24v06，数据分辩率为1KM，月合成；中巴经济走廊区域边界。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基于年度NDVI和年度Albedo构建的荒漠化差值指数，需要以NDVI的年度最大值，Albedo 的年度最小值作为基础数据。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采用高分辨率数据来评价荒漠化分级数据的质量。以2010年数据为例，选取8副landsat 7 影像数据在小范围上进行验证，计算8副影像的NDVI值，然后转换成植被盖度，根据荒漠化指标分级标准评价各个验证区土地的荒漠化程度。在每个影像上选取各级别荒漠化验证点30个，与数据集所得结果进行比较，并计算Kappa系数，其中总体评价精度达到80.83%，Kappa系数为73.89% ，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2000/03/01-2017/12/31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-36.0m-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8378.0m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Geographic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MOD13A3, 中巴经济走廊, Albedo地表反照率, DDI荒漠化差异指数, NDVI, 荒漠化分布, MCD43B3, NDVI-Albedo特征空间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  敏玉芳,  冯克庭,  艾鸣浩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康建芳,敏玉芳,冯克庭,艾鸣浩. 中巴经济走廊逐年荒漠化分布数据集（2000-2017年）. 国家冰川冻土沙漠科学数据中心(http://www.ncdc.ac.cn), 2021. https://cstr.cn/CSTR:11738.11.ncdc.nieer.2020.1360.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