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山西省太原市中煤平朔集团露井联采矿煤-水协调开发及煤矿水高效利用数据集（2015年-2020年）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coal water coordinated development and efficient utilization of coal mine water for open pit mining of middling coal Pingshuo Group in Taiyuan, Shanxi Province (2015-2020)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10.12072/ncdc.UTCMW.db2146.2022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11738.11.ncdc.UTCMW.db2146.2022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大型露井联采煤矿的用水水源多元化，用排水结构复杂，水资源系统相关技术体系、工艺流程及装备系统，链条长、环节多，表征指标复杂多变，亟需反馈调整优化。以科学全面的评价体系指导区域水资源生命周期（取水、配水、利用、排水、水处理、循环利用/废弃）的使用和管理，对突破企业用水效率不协调和不充分的瓶颈，实现水资源合理开发、优化配置以及可持续高效利用具有重要的现实意义。   本数据集通过到中煤平朔集团有限公司现场收集，随后以年为时间尺度进行整理，得到安太堡-安家岭区域供水单位最大供水能力、安太堡-安家岭区域用生产用水单元用水量限值、供水水源与生产用水元供需关系矩阵、生产用水单元与供水水源距离矩阵、用水部门用水公平性系数矩阵表和示范区各供水单位供水成本单价、费用系数统计表。之后，借鉴生命周期可持续性评估理论，集成资源消耗、经济性、技术性能、社会影响、环境影响5个维度，共19项清单因子，建立了水资源高效利用生命周期可持续性动态跟踪评价体系。数据集共包含579数据，数据集完全开放共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  到中煤平朔集团有限公司现场收集，随后以年为时间尺度进行整理。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  中煤平朔集团有限公司现场收集，原始数据，未经加工处理。与相关水质规范进行比对。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山西省太原市中煤平朔集团安太堡,安家岭大型露井联采矿区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234.7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露井联采, 煤矿水高效利用, 污水处理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山西省太原市中煤平朔集团安太堡,  安家岭大型露井联采矿区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113.55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111.85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杨军耀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杨军耀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杨军耀. 山西省太原市中煤平朔集团露井联采矿煤-水协调开发及煤矿水高效利用数据集（2015年-2020年）. 国家冰川冻土沙漠科学数据中心(http://www.ncdc.ac.cn), 2022. https://cstr.cn/CSTR:11738.11.ncdc.UTCMW.db2146.2022.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