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青海省木里煤田四号坑地表沉降数据集（2018-2023年）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subsidence data set of No. 4 pit in Muli coalfield, Qinghai Province (2018-2023)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10.12072/ncdc.db7678.2026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11738.11.ncdc.db7678.2026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  时序地表沉降数据是区域地质灾害监测、工程安全评估及地表形变演化研究的重要指标。本研究利用欧空局哨兵一号（Sentinel-1）SAR 数据影像分辨率为 5m（距离向）×20m（方位向），结合数字高程模型（DEM）、轨道辅助数据等数据源，基于 SBAS-InSAR 技术对多期影像进行时序干涉处理，生成研究区 2018-2023 年 的时序地表沉降数据产品。本数据具有以下优势：时空连续性强，克服传统 InSAR 技术因时空基线过大导致的失相干问题。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  Sentinel-1A 影像从欧洲航空局下载。DEM数据DEM是美国地质调查局（USGS）发布的30m较高分辨率SRTM数据，下载地址为：https://dwtkns.com/srtm30m/。 精密定轨星历数据。下载前在筛选时间的过程中需要注意文件命名格式，文件大小一般为4.4M。下载地址为：https://s1qc.asf.alaska.edu/aux_poeorb/。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  （1）对 Sentinel-1A 等 SAR 影像进行裁剪、镶嵌，将 DEM 数据转换为适配格式，并导入精密轨道数据以减小轨道误差影响；（2）根据时间和空间基线阈值（如时间基线≤90 天、空间基线≤临界基线的 45%），生成干涉像对组合，确保影像间相干性；（3）对干涉像对进行多视处理，采用 Goldstein 滤波抑制噪声，通过三角网格最小费用流法（Delaunay MCF）进行相位解缠，获取差分干涉图和解缠结果；（4）第一次反演优化相位并估算初始形变速率，第二次反演通过大气滤波（高通窗口 365 天、低通窗口 1600 米）去除大气相位影响，得到精确的线性形变速率和时序形变结果；（5）将斜距坐标系下的结果转换为 WGS84 地理坐标系，输出分辨率与干涉处理一致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  基线长度设置为 200 d，空间基线阈值设置为理论空间基线的 50%。后续操作中将相干性较低的干涉对进行移除，这样即确保了每一景影像至少连接了 4 个干涉对，有足够的数据参与计算，又避免了干涉对完全失相干所导致的形变精度降低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2018/01/12-2023/04/04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木里煤田四号坑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*..hdr,.*sml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地表沉降, Sentinel-1, SBAS-InSAR, 长时序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木里煤田四号坑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13259922729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xupy@xust.edu.cn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  王锴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徐培耘,王锴. 青海省木里煤田四号坑地表沉降数据集（2018-2023年）. 国家冰川冻土沙漠科学数据中心(http://www.ncdc.ac.cn), 2026. https://cstr.cn/CSTR:11738.11.ncdc.db7678.2026.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