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青海省木里煤田四号坑地表沉降数据集（2018-2023年）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subsidence data set of No. 4 pit in Muli coalfield, Qinghai Province (2018-2023)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  时序地表沉降数据是区域地质灾害监测、工程安全评估及地表形变演化研究的重要指标。本研究利用欧空局哨兵一号（Sentinel-1）SAR 数据影像分辨率为 5m（距离向）×20m（方位向），结合数字高程模型（DEM）、轨道辅助数据等数据源，基于 SBAS-InSAR 技术对多期影像进行时序干涉处理，生成研究区 2018-2023 年 的时序地表沉降数据产品。本数据具有以下优势：时空连续性强，克服传统 InSAR 技术因时空基线过大导致的失相干问题。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  Sentinel-1A 影像从欧洲航空局下载。DEM数据DEM是美国地质调查局（USGS）发布的30m较高分辨率SRTM数据，下载地址为：https://dwtkns.com/srtm30m/。 精密定轨星历数据。下载前在筛选时间的过程中需要注意文件命名格式，文件大小一般为4.4M。下载地址为：https://s1qc.asf.alaska.edu/aux_poeorb/。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  （1）对 Sentinel-1A 等 SAR 影像进行裁剪、镶嵌，将 DEM 数据转换为适配格式，并导入精密轨道数据以减小轨道误差影响；（2）根据时间和空间基线阈值（如时间基线≤90 天、空间基线≤临界基线的 45%），生成干涉像对组合，确保影像间相干性；（3）对干涉像对进行多视处理，采用 Goldstein 滤波抑制噪声，通过三角网格最小费用流法（Delaunay MCF）进行相位解缠，获取差分干涉图和解缠结果；（4）第一次反演优化相位并估算初始形变速率，第二次反演通过大气滤波（高通窗口 365 天、低通窗口 1600 米）去除大气相位影响，得到精确的线性形变速率和时序形变结果；（5）将斜距坐标系下的结果转换为 WGS84 地理坐标系，输出分辨率与干涉处理一致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  基线长度设置为 200 d，空间基线阈值设置为理论空间基线的 50%。后续操作中将相干性较低的干涉对进行移除，这样即确保了每一景影像至少连接了 4 个干涉对，有足够的数据参与计算，又避免了干涉对完全失相干所导致的形变精度降低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2018/01/12-2023/04/04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木里煤田四号坑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*..hdr,.*sml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地表沉降, Sentinel-1, SBAS-InSAR, 长时序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木里煤田四号坑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13259922729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xupy@xust.edu.cn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徐培耘,  王锴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高寒矿区冻土水文生态时空变化监测和数据融合技术集成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徐培耘,王锴. 青海省木里煤田四号坑地表沉降数据集（2018-2023年）.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