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塔里木河干流流域1:10万土地利用数据（2002年、2004年）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1:100,000 Land Use Data of the Tarim River Mainstream Basin (2002, 2004)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10.12072/ncdc.nieer.db2986.2023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2个矢量数据：2002年塔里木河干流土地利用数据和2004年塔里木河干流土地利用数据；此数据反映了从肖夹克到罗布泊全长1324公里，南北最宽处90多公里，最窄处20公里左右范围内的塔里木河干流土地利用情况，该数据为研究新疆塔里木河干流周边生态遥感监测、土地利用演变、生态治理提供可用的数据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  （1）2002年度TM遥感数据；  （2）2004年度TM遥感数据；  （3）Google earth数据；  （4）2001年-2004年实地考察数据资料和照片。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  本数据是由数据解译人员按照全国土地分类标准编码对多期多时相TM遥感影像数据进行预处理和人工解译分类，最后加以实地验证和高精度验证所得的结果。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  所得到的解译结果，经过实地验证和高精度验证，误差经过多次修正，验证率高达90%。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2002/01/01-2004/01/01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新疆维吾尔自治区，塔里木河干流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采用GCS_Xian_1980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土地类型, 土地利用, LUCC,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新疆维吾尔自治区,  塔里木河干流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88.78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塔里木河干流流域1:10万土地利用数据（2002年、2004年）. 国家冰川冻土沙漠科学数据中心(http://www.ncdc.ac.cn), 2021. https://cstr.cn/CSTR:11738.11.ncdc.nieer.2020.1297.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