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山西省太原市黄土和粗砂数值模拟数据集（2020年3月-12月）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Numerical simulation dataset of loess and coarse sand in Taiyuan City, Shanxi Province (March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10.12072/ncdc.UTCMW.db2170.2022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11738.11.ncdc.UTCMW.db2170.2022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硫酸盐作为模拟因子，采用Hydurs-1D软件进行数值模拟，基于水动力弥散理论，建立连续一维PRB数学模型，分别对黄土和粗砂配比PRB的淋溶实验进行模拟及参数确定，模拟五种不同宽度PRB处理酸性老窑水，明确PRB治理酸性老窑水的运行期限及最优宽度。数据集共包含数据量为10组，3600个数据/组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  室内实验，数值模拟，自主产生。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  采用Hydurs-1D软件进行数值模拟，计算输出结果精度设置为0.001g/L。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2020/03/01-2020/12/31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数值模拟, 硫酸盐, 最优宽度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山西省太原市黄土和粗砂数值模拟数据集（2020年3月-12月）. 国家冰川冻土沙漠科学数据中心(http://www.ncdc.ac.cn), 2022. https://cstr.cn/CSTR:11738.11.ncdc.UTCMW.db2170.2022.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