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黑河流域地表过程综合观测网（阿柔超级站大孔径闪烁仪-2024）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2024年1月1日至2024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Intensity-20mv）；（3）剔除降水时刻的数据。在迭代计算过程中，对于BLS900，选取Thiermann and Grassl（1992）的稳定度普适函数；对于RR-RSS460，选取Andreas（1988）的稳定度普适函数。 关于发布数据的几点说明：（1）上游LAS数据以BLS900为主，缺失时刻由RR-RSS460观测补充，两者都缺失则以-9999标记。（2）数据表头：Date/Time ：日期/时间（格式：yyyy/m/d h:mm），Cn2 ：空气折射指数结构参数（单位：m-2/3），H ：感热通量（单位：W/m2）。数据时间的含义，如0:30代表0:00-0:30的平均；数据以*.xlsx格式存储。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黑河流域上游,阿柔超级站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523.6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黑河流域地表过程综合观测网（阿柔超级站大孔径闪烁仪-2024）.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