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2018年甘青宁黄土丘陵国家级水土流失重点治理区林草植被覆盖度统计表数据集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Gansu Qinghai Ningxia Loess Hilly national key control area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10.12072/ncdc.HHSTBC.db0102.2021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甘青宁黄土丘陵国家级水土流失重点治理区林草植被覆盖度统计表数据集包括青海省城东区、城中区、城西区、城北区、大通回族土族自治县、湟中县、湟源县、乐都县、平安县、民和回族土族自治县、互助土族自治县、化隆回族自治县、循化撒拉族自治县、尖扎县、贵德县，宁夏回族自治区同心县、原州区、西吉县、彭阳县、海原县2018年的林草植被覆盖度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甘青宁黄土丘陵国家级水土流失重点治理区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229.8 KiB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 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城东区、城中区、城西区、城北区、大通回族土族自治县、湟中县、湟源县、乐都县、平安县、民和回族土族自治县、互助土族自治县、化隆回族自治县、循化撒拉族自治县、尖扎县、贵德县，宁夏回族自治区同心县、原州区、西吉县、彭阳县、海原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2018年甘青宁黄土丘陵国家级水土流失重点治理区林草植被覆盖度统计表数据集. 国家冰川冻土沙漠科学数据中心(http://www.ncdc.ac.cn), 2021. https://cstr.cn/CSTR:11738.11.ncdc.HHSTBC.2020.223.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