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2013-2017年湟水洮河中下游国家级重点治理区土地利用统计表数据集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statistics of national key harnessing areas in the middle and lower reaches of Taohe River in Huangshui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10.12072/ncdc.hhstbc.db2652.2022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湟水洮河中下游国家级重点治理区土地利用图数据集包括甘肃省永靖县、青海省民和县等区域2013年、2014年、2015年、2016年和2017年的土地利用，保存格式为xlsx，数据命名采用“所属重点治理区＋行政区＋年份＋土地利用统计表”的形式，如“××重点治理区××县××年土地利用统计表”。土地利用的分类系统包括8个一级类、22个二级类和2个三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数据源为资源三号和高分一号卫星遥感影像，空间分辨率为2m，主要由水利部信息中心提供。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基于eCognition软件平台，采用面向对象计算机自动分类与人工目视解译相结合的方法，提取研究区逐年土地利用数据。然后采用三种方法对数据精度进行验证：野外样本点调查、高分辨率影像识别和Google Earth的样本点识别。最后根据土地利用分类标准，统计得到土地利用统计表。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最小图斑面积对应的实际地物面积不小于0.1hm2，多边形无重叠、无空隙，图斑属性无空置或冗余。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湟水洮河中下游国家级重点治理区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 8个一级类要素，22个二级类要素，2个三级类要素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民和县,  永靖县,  甘肃省,  湟水洮河中下游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36.44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2013-2017年湟水洮河中下游国家级重点治理区土地利用统计表数据集. 国家冰川冻土沙漠科学数据中心(http://www.ncdc.ac.cn), 2021. https://cstr.cn/CSTR:11738.11.ncdc.HHSTBC.2020.162.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