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2013-2017年湟水洮河中下游国家级重点治理区土壤侵蚀图数据集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map in the middle and lower reaches of Taohe River in Huangshui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湟水洮河中下游国家级重点治理区土壤侵蚀图数据集包括甘肃省永靖县、青海省民和县等区域2013年、2014年、2015年、2016年和2017年的土壤侵蚀，基于空间分辨率为2米的卫星遥感影像加工获得，保存格式为tif，数据命名采用“所属重点治理区＋行政区＋年份＋土壤侵蚀图”的形式，如“××重点治理区××县××年土壤侵蚀图”。土壤侵蚀强度划分为微度侵蚀、轻度侵蚀、中度侵蚀、强烈侵蚀、极强烈侵蚀和剧烈侵蚀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湟水洮河中下游国家级重点治理区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青海省, 土壤侵蚀, 甘肃省, 永靖县, 湟水洮河中下游, 民和县, 重点治理区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永靖县,  民和县,  甘肃省,  湟水洮河中下游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2013-2017年湟水洮河中下游国家级重点治理区土壤侵蚀图数据集. 国家冰川冻土沙漠科学数据中心(http://www.ncdc.ac.cn), 2021. https://cstr.cn/CSTR:11738.11.ncdc.HHSTBC.2020.175.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