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land use map of Liupanshan national key prevention area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10.12072/ncdc.hhstbc.db2650.2022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remote sensing images are preprocessed by radiation correction, orthorectification, fusion and mosaic. The actual surface area corresponding to the minimum patch area is not less than 0.1 Hm2, the polygon has no overlap, no gap, and the patch attribute has no vacancy or redundancy. Before remote sensing image interpretation, remote sensing image, typical survey and field comparison were used to establish remote sensing interpretation marks of land use. Based on the remote sensing image, combined with the interpretation marks, the land use types are extracted. Reexamination of interpretation results: take no less than 5% of the total map spots for verification. The number and results of field verification samples meet the requirements of technical specification for remote sensing monitoring of soil and water conservation (sl592-2012). For the verification map spots, 10% of the verification samples are selected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place:Liupanshan national key prevention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Theme:There are 8 first-class elements, 22 second-class elements and 2 third-class elements in the statistical table of land use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Place:Ningxia Hui Autonomous Region,  key prevention area,  Huating County,  land use,  Jingyuan County,  Gansu Province,  Liupanshan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106.88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land use map of Liupanshan national key prevention area from 2013 to 2017. National Cryosphere Desert Data Center(http://www.ncdc.ac.cn), 2021. https://cstr.cn/CSTR:11738.11.ncdc.HHSTBC.2020.135.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