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Gansu Province Atmospheric Environment Statistical Dataset (2012-2022)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10.12072/ncdc.gseer.db3979.2023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11738.11.NCDC.GSEER.DB3979.2023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covers the emissions of major pollutants from industrial and domestic waste gases in various cities (prefectures) of Gansu Province from 2012 to 2022, including the total emissions of sulfur dioxide, nitrogen oxides, and particulate matter. The data is sourced from the Gansu Development Yearbook. This dataset provides basic data for atmospheric environment assessment in Gansu Province.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sourced from the Gansu Development Yearbook.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 Collect and organize.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Bulletin, Atmospheric environment, sulfur dioxide, nitrogen oxides, and particulate matter in Gansu Province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Place:Lanzhou City,  Jiayuguan City,  Jinchang City,  Baiyin City,  Tianshui City,  Wuwei City,  Zhangye City,  Pingliang City,  Jiuquan City,  Qingyang City,  Dingxi City,  Longnan City,  Linxia Hui Autonomous Prefecture,  Gannan Tibetan Autonomous Prefecture,  Lanzhou New Area,  Gansu Mining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Gansu Province Atmospheric Environment Statistical Dataset (2012-2022). National Cryosphere Desert Data Center(http://www.ncdc.ac.cn), 2023. https://cstr.cn/CSTR:11738.11.NCDC.GSEER.DB3979.2023.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