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山西省太原市碳钢渣+碳钢渣颗粒数值模拟数据集（2020年3月）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Numerical simulation dataset of carbon steel slag and carbon steel slag particles in Taiyuan City, Shanxi Province (March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10.12072/ncdc.UTCMW.db2169.2022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11738.11.ncdc.UTCMW.db2169.2022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硫酸盐作为模拟因子，采用Hydurs-1D软件进行数值模拟，基于水动力弥散理论，建立连续一维PRB数学模型，分别对碳钢渣和碳钢渣颗粒配比PRB的淋溶实验进行模拟及参数确定，模拟五种不同宽度PRB处理酸性老窑水，明确PRB治理酸性老窑水的运行期限及最优宽度。数据集共包含数据量为10组，3600个数据/组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  数值模拟，自主产生。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  采用Hydurs-1D软件进行数值模拟，计算输出结果精度设置为0.001g/L。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2020/03/01-2020/03/31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数值模拟, 水动力弥散理论, PRB数学模型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山西省太原市碳钢渣+碳钢渣颗粒数值模拟数据集（2020年3月）. 国家冰川冻土沙漠科学数据中心(http://www.ncdc.ac.cn), 2022. https://cstr.cn/CSTR:11738.11.ncdc.UTCMW.db2169.2022.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