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西北内陆区各季节产流系数空间分布数据集（1979-2017年）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set of spring runoff yield coefficient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  （1）下载国家气象信息中心中国地面降水月值格点数据,将空间分辨率统一为0.75°×0.75°。   （2）下载ERA-Interim径流数据，将空间分辨率统一为0.75°×0.75°。   （3）计算每个格点的降水与径流的比值，即可得到径流系数。   （4）最后进行季平均及年平均，得到区域内各级季节数据。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产流系数, 各季节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西北内陆区各季节产流系数空间分布数据集（1979-2017年）. 国家冰川冻土沙漠科学数据中心(http://www.ncdc.ac.cn), 2022. https://cstr.cn/CSTR:11738.11.ncdc.XBSAQ.db2291.2022.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