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甘肃省水文因子数据集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Factor Dataset of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11738.11.NCDC.GSEER.DB4096.2023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采用的数据源为DEM，从地理空间数据云（http://www.gscloud.cn/search）下载，对多幅DEM进行拼接，利用甘肃省的矢量边界对DEM进行裁剪，最终得到甘肃省DEM数据。通过水文分析可确定河流方向、提取河网、河网分级、提取流域，数据集包含5个文件夹（.tif）：   1_无洼地DEM：填洼前流向.tif、洼地_汇.tif、洼地贡献区域.tif、洼地贡献区域的最低高程.tif、洼地贡献区域出口的最高高程.tif、洼地深度.tif、洼地填充.tif（即无洼地DEM）。   2_流向流量：流向.tif、流量.tif。   3_水流长度：flowdown.tif、flowup.tif。   4_河网：河网阈值30000.tif、河网矢量.shp、河流连接streamlink.tif、河流连接streamlink矢量、STRAHLER河网分级.tif、STRAHLER河网分级矢量.shp、SHREVE河网分级.tif、SHREVE河网分级.shp。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  原始DEM数据从地理空间数据云（http://www.gscloud.cn/search）下载。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无洼地DEM生成：（1）水流方向提取；（2）洼地深度计算；（3）洼地填充获得无洼地DEM。   2. 汇流累积量计算：（1）重新计算无洼地DEM水流方向；（2）计算汇流累积量。   3. 水流长度计算：（1）DOWNSTREAM-计算沿流路径从每个像元到栅格边上的汇点或出水口的下坡距离（即顺流计算）；（2）UPSTREAM-计算沿流路径从每个像元到分水岭顶部的最长上坡距离（即逆流计算）。   4. 河网提取：（1）生成河网，阈值选取30000，平滑值0.001；（2）Stream link生成（河网的连接点，包括弧段的起点和终点）；（3）河网分级生成（STRAHLER河网分级、SHREVE河网分级）。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tif、shp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河流网络, 流向, 汇, 水流长度,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甘肃省水文因子数据集. 国家冰川冻土沙漠科学数据中心(http://www.ncdc.ac.cn), 2023. https://cstr.cn/CSTR:11738.11.NCDC.GSEER.DB4096.2023.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