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data sets can be added in the future seasons south of Altai Mountain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10.12072/ncdc.XBSAQ.db2210.2022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11738.11.ncdc.XBSAQ.db2210.2022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cmip5 specific humidity data, the spatial resolution is unified to 0.75 ° × 0.75 °, the precipitable water matrix is calculated by using the integral formula of the whole layer.  &amp; emsp; (2) Based on cmip5 monthly precipitation grid data, the spatial resolution is unified to 0.75 ° × 0.75 °, calculate the ratio matrix of precipitation and available precipitation in each grid point, that is, the precipitation conversion rate matrix. Use Python statistical analysis library to cut the data points in the study area and make the regional average to obtain the available precipitation conversion rate data.  &amp; emsp; (3) Based on cmip5 specific humidity and wind speed data, the spatial resolution is unified to 0.75 ° × 0.75 °, the water vapor flux divergence matrix is calculated, and the air water resource enrichment area is identified.  &amp; emsp; (4) Considering that artificial rainfall enhancement measures can increase rainfall efficiency, the rainfall matrix can be obtained by implementing the rainfall enhancement operation theory in the air water resources enrichment area  &amp; emsp; (5)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place:South of Altai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Theme:South of Altai mountain, precipitation can be increased,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Place:South of Altai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Precipitation data sets can be added in the future seasons south of Altai Mountain (2021-2080). National Cryosphere Desert Data Center(http://www.ncdc.ac.cn), 2022. https://cstr.cn/CSTR:11738.11.ncdc.XBSAQ.db2210.2022.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