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长三角生态绿色一体化发展示范区跨地区防洪除涝互馈规律数据集（1999年）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cross-regional flood control and waterlogging mutual feeding rules in Yangtze River Delta eco-green integrated development demonstration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长三角生态绿色一体化发展示范区为例，基于太湖流域水文水动力模型，设置一系列排涝能力和调度规则变化情景，以太湖流域1999年南部型设计暴雨作为输入进行试算，获取长三角生态绿色一体化发展示范区内部主要河道缎面的水位过程数据和最高水位数据，单位为m，基于此，分析因排涝能力与规则变化对城市内部以及毗邻城市洪涝情势的影响，最后基于构建的排涝响应指数量化了跨地区城市排涝的互馈效应。   城市排涝能力和调度规则变化对可改变城市自身内部的洪涝情势，吴江和青浦圩内除涝压力受排涝能力影响较小，受调度水位调整的影响较大，嘉善则与之相反。吴江排涝能力与嘉善、青浦的防洪压力呈正相关关系，排涝能力变化，可显著改变嘉善、青浦圩外河道的防洪压力；青浦和嘉善排涝能力变化对毗邻城市圩外河道的洪涝情势改变影响较小。   调度水位的调整对两区一县圩外河道洪涝情势几乎没有影响。示范区三座城市的排涝响应指数总体与排涝能力呈负相关关系；吴江、嘉善、青浦的洪涝情势对吴江区排涝能力变化的敏感性最强，其次是嘉善县。青浦区排涝能力变化仅自身圩外河道产生显著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  本数据集数据来源自太湖流域水文水动力模型运行计算结果。有一定可靠性。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最新的下垫面数据、研究区圩区排涝模数、泵站排涝能力数据，优化更新了太湖流域模型，设置了一系列研究区域防洪除涝方案。并选取太湖流域100年一遇“99南部”型设计暴雨进行模拟，获得了跨地区防洪除涝互馈规律数据集，分析了跨地区城市间防洪除涝的相互影响规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太湖流域模型率定结果来看，模型站模拟水位过程与实测水位过程比较接近，模拟得到的最高水位与实际值相差最大不超过0.1m，长三角生态绿色一体化发展示范区内部测站模拟值和实际值的相对误差平均值均小于5%，表明更新后的太湖流域模型的模拟精度较高。   单个地区圩区治理标准的提高时，圩区外河水位随圩区治理标准的提高，呈上升趋势，防洪风险增加且变化呈“S”型。圩内水位方面，排涝动力足以满足排涝需求时，继续增加排涝动力并不会显著改变其水位过程，圩内水位不会产生较大波动，仅会对退水时长产生影响。圩区闸泵调度规则变化可使圩区内部水位显著变化。   对相邻地区洪涝情势的影响方面，圩区排涝能力提升可增加对相邻地区防洪排涝压力，且圩区排涝变化对相邻地区的影响程度与地理空间位置和相互之间的距离密切相关，其中吴江圩区排涝对相邻地区的洪涝情势影响最大，嘉善地区其次，青浦地区的影响最弱。圩区闸泵调度规则变化对相邻地区的洪涝情势几乎没有影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长三角生态绿色一体化发展示范区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长三角生态绿色一体化发展示范区, 一维水动力学模型, 太湖流域模型, 互馈规律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太湖流域,  长三角生态绿色一体化发展示范区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商守卫. 长三角生态绿色一体化发展示范区跨地区防洪除涝互馈规律数据集（1999年）. 国家冰川冻土沙漠科学数据中心(http://www.ncdc.ac.cn), 2025. https://cstr.cn/CSTR:11738.11.NCDC.NHRI.DB6771.2025.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