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2019年黄河多沙粗沙区国家级重点治理区水土保持措施数据集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control areas of Yellow River Sandy and coarse sand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10.12072/ncdc.HHSTBC.db2077.2022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11738.11.ncdc.HHSTBC.db2077.2022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黄河多沙粗沙国家级重点治理区水土保持措施数据集包括山西省古交市、娄烦县、右玉县、静乐县、神池县、五寨县、岢岚县、河曲县、保德县、偏关县、吉县、乡宁县、大宁县、隰县、永和县、蒲县、汾西县、离石区、兴县、临县、柳林县、石楼县、岚县、方山县、中阳县、交口县， 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永乐县 甘肃省泾川县、灵台县、西峰区、庆城县、环县、华亭县、合水县、宁县、镇原县，宁夏回族自治区盐池县70个县2019年的水土保持措施统计表，基于空间分辨率优于16m的卫星遥感影像加工获得，保存格式为xlsx，数据命名采用“所属重点治理区＋行政区＋年份＋水土保持措施统计表”的形式，如“××重点治理区××县××年水土保持措施统计表”。水土保持措施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水土保持措施遥感影像数据源为资源三号和高分一号卫星影像，从水利部信息中心获取。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水土保持措施统计表，8个一级类要素，25个二级类要素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黄河流域多沙粗沙区国家级重点治理区，山西省，内蒙古，陕西省，甘肃省，宁夏回族自治区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2019年黄河多沙粗沙区国家级重点治理区水土保持措施数据集. 国家冰川冻土沙漠科学数据中心(http://www.ncdc.ac.cn), 2022. https://cstr.cn/CSTR:11738.11.ncdc.HHSTBC.db2077.2022.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