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multi scale observation experiment of surface evapotranspiration over heterogeneous underlying surface flux observation matrix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10.12072/ncdc.NIEER.db0068.2020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11738.11.ncdc.nieer.2020.1588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contains the eddy related flux observation data in the lower layer of Damon super station in the flux observation matrix from May 25 to September 15, 2012. The station is located in Daman irrigation area, Zhangye City, Gansu Province, with corn as the underlying surface. The longitude and latitude of the observation point are 100.37223e, 38.85551n, and the altitude is 1556.06m. The eddy correlator frame is 4.5m high, the sampling frequency is 10Hz, the ultrasonic direction is due north, and the distance between the ultrasonic anemometer and CO2 / H2O analyzer is 17cm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published observation data include: date / time, wind direction WDIR (°), horizontal wind speed wnd (M / s), standard deviation of lateral wind speed STD_ Uy (M / s), ultrasonic virtual temperature TV (℃), water vapor density H2O (g / m3), carbon dioxide concentration CO2 (mg / m3), friction velocity ustar (M / s), stability Z / L (dimensionless), sensible heat flux HS (w / m2), latent heat flux Le (w / m2), carbon dioxide flux FC (mg / (M2S)), quality identification QA of sensible heat flux_ HS, quality identification of latent heat flux QA_ Le, quality identification QA of carbon dioxide flux_ Fc。 The quality identification of sensible heat, latent heat and carbon dioxide flux is divided into three levels (quality identification 0:（ Δ st &lt; 30, ITC&lt; 30）; 1: （ Δ st &lt; 100, ITC&lt; 100）; The rest are 2). The meaning of data time, for example, 0:30 represents the average of 0:00-0:30; The data is stored in *. XLS format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original observation data of eddy correlator is 10Hz. The released data is the 30 minute data post processed by edire software. The main processing steps include: field value elimination, delay time correction, coordinate rotation (quadratic coordinate rotation), frequency response correction, ultrasonic virtual temperature correction and density (WPL) correction. At the same time, the quality of each flux value is evaluated, mainly the atmospheric stability（ Δ St) and turbulence similarity characteristics (ITC)</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30 min flux value output by edire software is also screened: (1) eliminate the data when the instrument is wrong（ 2) Eliminate the data 1H before and after precipitation（ 3) Eliminate the data with a loss rate of more than 3% every 30min of 10Hz original data（ 4) Eliminate the observation data of weak turbulence at night (U * less than 0.1M / s). The average period of observation data is 30 minutes, 48 data a day, and the missing data is marked as - 6999. Suspicious data caused by instrument drift and other reasons shall be identified in red font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time:2012/05/25-2012/09/15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place:Zhangye City, Gansu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Theme:Eddy correlator, Latent heat flux, hydrometeor, Sensible heat flux, CO2 flux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Flux observation matrix,  Artificial oasis experimental area in the middle reaches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author:Xu ziwei </w:t>
      </w:r>
      <w:proofErr w:type="gramStart"/>
      <w:r>
        <w:rPr>
          <w:rFonts w:ascii="Times New Roman" w:hAnsi="Times New Roman" w:hint="eastAsia"/>
          <w:sz w:val="24"/>
          <w:szCs w:val="24"/>
          <w:lang w:eastAsia="zh-CN"/>
        </w:rPr>
        <w:t xml:space="preserve">,  Liu shaomin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Heihe River eco hydrological remote sensing experiment: multi scale observation experiment of surface evapotranspiration over heterogeneous underlying surface flux observation matrix dataset. National Cryosphere Desert Data Center(http://www.ncdc.ac.cn), 2021. https://cstr.cn/CSTR:11738.11.ncdc.nieer.2020.1588.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Song Lisheng, Zhao Qianyi, Ge Yong, Xu Tongren, Ma Yanfei, Zhu Zhongli, Jia Zhenzhen, Zhang Fen. Upscaling evapotranspiration measurements from multi-site to the satellite pixel scale over heterogeneous land surfaces[J]. Agricultural and Forest Meteorology, 2016, 230: 97-113.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Xu Ziwei, Liu Shaomin, Li Xin, Shi Shengjin, Wang Jiemin, Zhu Zhongli, Xu Tongren, Wang Weizhen, Ma Mingguo. Intercomparison of surface energy flux measurement systems used during the HiWATER‐MUSOEXE[J]. Journal of Geophysical Research, 2013, 118, (23).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