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Erosion in the Qilian Mountains Heihe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祁连山黑河国家级重点预防区土壤侵蚀数据集包括内蒙古自治区额济纳旗，甘肃省永登县、天祝县、甘州区、肃南县、民乐县、临泽县、高台县、金塔县，青海省门源回族自治县、祁连县2024-2025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 在水力侵蚀地区，采用中国土壤流失方程CSLE计算土壤侵蚀模数。获取 10 m 空间分辨率的土壤侵蚀模数计算值栅格图层。在风力侵蚀地区，根据土地利用类型，可分别选用与之对应的耕地、草（灌）地、沙地（漠）风力侵蚀模型，计算土壤侵蚀模数。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2024-2025年祁连山黑河国家级重点预防区土壤侵蚀数据集. 国家冰川冻土沙漠科学数据中心(http://www.ncdc.ac.cn), 2025. https://cstr.cn/CSTR:11738.11.NCDC.HHSTBC.DB6953.2025.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