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祁连山地区250m及以上分辨率土壤有机碳密度（0~100cm）数据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250m and above resolution in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祁连山地区250m及以上分辨率土壤有机碳密度（0~100cm）数据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采用bilinear法分别重采样至250m/500m/1000m，数据量共170M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250m/500m/1000m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祁连山及周边地区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31270482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干旱内陆河流域典型生态系统土壤碳模拟研究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祁连山地区250m及以上分辨率土壤有机碳密度（0~100cm）数据. 国家冰川冻土沙漠科学数据中心(http://www.ncdc.ac.cn), 2023. https://cstr.cn/CSTR:11738.11.ncdc.qlsst.db2695.2023.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