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eco hydrological remote sensing test: Airborne Lidar DEM point cloud data in the core test area in the middle reaches of Heihe River Basin (July 19,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10.12072/ncdc.nieer.db3551.2023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On July 19, 2012, lidar aerial remote sensing flight test was carried out in the core observation area in the middle and upper reaches of Heihe River by using Yun 12 aircraft and Leica company als70. The als70 laser has a wavelength of 1064 nm and multiple echoes (1, 2, 3 and last). The relative flight altitude in the middle reaches is 1500 meters (altitude 2700 meters), and the average point cloud density is 4 points / m2. DEM and DSM data products are finally formed through the steps of parameter calibration, automatic classification of point cloud and manual editing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July 19, 2012, lidar aerial remote sensing flight test was carried out in the core observation area in the middle and upper reaches of Heihe River by using Yun 12 aircraft and Leica company als70. The als70 laser has a wavelength of 1064 nm and multiple echoes (1, 2, 3 and last)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relative flight altitude in the middle reaches is 1500 meters (altitude 2700 meters), and the average point cloud density is 4 points / m2. DEM and DSM data products are finally formed through the steps of parameter calibration, automatic classification of point cloud and manual editing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time:2012/07/19-2012/07/19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Theme:Remote sensing products, DEM, parameter calibration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pilot area of artificial oasis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 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contributors:Wen jianguang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author:Wen jianguang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manager:Wen jianguang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Wen jianguang. Heihe River eco hydrological remote sensing test: Airborne Lidar DEM point cloud data in the core test area in the middle reaches of Heihe River Basin (July 19, 2012). National Cryosphere Desert Data Center(http://www.ncdc.ac.cn), 2021. https://cstr.cn/CSTR:11738.11.ncdc.NIEER.2021.40.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