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太湖流域洪涝应对韧性评价指标数据集（1999-2020年）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flood resilience evaluation indicators for the Lake Tai Basin (1999-2020)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10.12072/ncdc.nhri.db6770.2025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11738.11.NCDC.NHRI.DB6770.2025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各个城市统计部门、水文部门、市政部门等公布的统计数据作为基础数据，搜集了1999-2020年的韧性评价指标数据，并针对指标需求开展进一步计算，对于缺测年份的数据采用前后年份数据线性插值的方法获取，以满足指标数据的连贯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  韧性评价指标的基础数据来源于各城市统计部门、水文部门、市政部门等公布的统计数据。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  （1）基于各城市统计部门、水文部门、市政部门等公布的统计数据，做进一步的计算以满足建立的韧性评价框架中的指标需求；   （2）对于缺测年份的数据采用前后年份数据线性插值的方法获取，以满足指标数据的连贯性。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  韧性指标数据主要来源于各省市发布的统计年鉴数据，与实际情况贴合。因此，本数据集可作为太湖流域洪涝应对韧性评价的可靠基础数据。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2022/09/01-2022/09/01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长江下游地区, 太湖流域, 洪涝应对韧性, 指标体系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长江下游,  太湖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卢开东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卢开东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卢开东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卢开东. 太湖流域洪涝应对韧性评价指标数据集（1999-2020年）. 国家冰川冻土沙漠科学数据中心(http://www.ncdc.ac.cn), 2025. https://cstr.cn/CSTR:11738.11.NCDC.NHRI.DB6770.2025.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