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Seed bank, seedling and adult plant survey data for soils of tall and gently flowing dunes in the Kerchin Sandlands (April-August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10.12072/ncdc.ZDYF.db1675.2022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11738.11.ncdc.ZDYF.db1675.2022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Seven slopes were set up in the selected mobile dunes, including under leeward slope, middle leeward slope, upper leeward slope, top of the mound, top of the windward slope, middle windward slope, and under the windward slope, and one 50cm×20cm survey sample plot was set up perpendicular to the direction of the slope direction. (1) Three soil mixes were taken from each slope position in March 2017 and brought back to the laboratory for seed germination experiments. (2) Seedling and adult plant species richness, community cover and community density were investigated in April-August 2017 at each survey sample plot.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Seven slopes were set up in the selected mobile dunes, including under the leeward slope, in the leeward slope, on the leeward slope, on the top of the mound, on the windward slope, in the windward slope, under the windward slope, etc., and one 50cm×20cm sample plot was set up perpendicularly to the direction of the slope direction.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Three soil mixes were taken from each slope in March 2017 and brought back to the laboratory for seed germination experiments.   (2) Seedling and adult plant species richness, community cover and community density were investigated in April-August 2017 at each surveyed sample site.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quality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time:2017/04/01-2017/08/31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place:Within the territory of Naiman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Theme:Mobile sand dunes, soil seed bank, seedling planting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Place:Within the territory of Naiman Banner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Yulin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Yulin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number:2016YFC0500900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Yulin. Seed bank, seedling and adult plant survey data for soils of tall and gently flowing dunes in the Kerchin Sandlands (April-August 2017). National Cryosphere Desert Data Center(http://www.ncdc.ac.cn), 2022. https://cstr.cn/CSTR:11738.11.ncdc.ZDYF.db1675.2022.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