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  2）气压订正   根据仪器说明手册中提到的快中子气压订正公式，对原始数据进行气压订正，得到订正后的快中子数N1C_cor。   3）仪器率定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r>
        <w:rPr>
          <w:rFonts w:ascii="Times New Roman" w:hAnsi="Times New Roman" w:hint="eastAsia"/>
          <w:sz w:val="24"/>
          <w:szCs w:val="24"/>
          <w:lang w:eastAsia="zh-CN"/>
        </w:rPr>
        <w:tab/>
      </w:r>
      <w:r>
        <w:rPr>
          <w:rFonts w:ascii="Times New Roman" w:hAnsi="Times New Roman" w:hint="eastAsia"/>
          <w:sz w:val="24"/>
          <w:szCs w:val="24"/>
          <w:lang w:eastAsia="zh-CN"/>
        </w:rPr>
        <w:t xml:space="preserve">数据来源翻译：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 hour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宇宙射线观测系统, 土壤水分,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刘绍民,朱忠礼,徐自为,李新,车涛,谭俊磊,任志国,张阳. 黑河流域地表过程综合观测网（大满超级站宇宙射线观测系统-2025）. 国家冰川冻土沙漠科学数据中心(http://www.ncdc.ac.cn), 2026. https://cstr.cn/CSTR:11738.11.ncdc.heihe.db7614.2026.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Probe[J/OL]. IEEE Geoscience and Remote Sensing Letters, 2015, 12, (3): 472-476. </w:t>
        <w:br/>
        <w:t xml:space="preserve">            DOI: 10.1109/LGRS.2014.2346784.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