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set of natural disasters and emergencies in Weihe River Basin (1999-2017)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10.12072/ncdc.WRiver.db0002.2021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collects the statistical data of natural disasters and emergencies in Shaanxi Province, Gansu Province and Ningxia Hui autonomous region where the Weihe River Basin flows through, mainly including the following 7 parts: 1. Loss of natural disasters in various regions (2003-2017), including affected area of crops, drought, low temperature freezing and snow disaster, etc. 2. Geological disasters and Prevention (1999-2017), including the number of geological disasters, landslides, collapses, debris flows, etc. 3. Earthquake disasters (2003-2017), including the number of geological disasters, casualties, economic losses, etc. 4. Forest fires in various regions (1999-2017), including the number of forest fires, general fires, large fires and affected forest area, etc. 5. Forest pest control in various regions (1999-2017), including occurrence area, control area, forest diseases and forest pests. 6. Grassland Disasters in various regions (2010-2017), including grassland rodents, grassland pests and grassland fire affected areas. 7. Environmental emergencies in various regions (2009-2010), including the number of environmental emergencies, especially major environmental events and major environmental events. The data set is stored in Excel, the meaning of each field is shown in the header, and the data is mainly from China Environmental Statistics Yearbook. This data set can provide basic data for natural disaster evaluation of Weihe River.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China Environmental Statistics Yearbook, and the collection scope is Shaanxi Province, Gansu Province and Ningxia Hui autonomous region where the Weihe River Basin flows through.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and sort out data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manual sorting, verification and cross validation,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disasters, geological disasters, earthquake disasters, forest fires, forest pest control, Grassland Disasters, environmental emergencies, Statistical Bulletin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set of natural disasters and emergencies in Weihe River Basin (1999-2017). National Cryosphere Desert Data Center(http://www.ncdc.ac.cn), 2021. https://cstr.cn/CSTR:11738.11.ncdc.WRiver.2021.2.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