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2013-2017年河龙区间多沙粗沙国家级重点治理区土壤侵蚀统计表数据集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soil erosion in national key control area of heavy and coarse sand in Helong section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河龙区间多沙粗沙国家级重点治理区土壤侵蚀统计表数据集包括内蒙古自治区准格尔旗、伊金霍洛旗、东胜区，陕西省神木县、宝塔区等区域2013年、2014年、2015年、2016年和2017年的土壤侵蚀，于空间分辨率为2米的卫星遥感影像加工获得，保存格式为xlsx，数据命名采用“所属重点治理区＋行政区＋年份＋土壤侵蚀统计表”的形式，如“××重点治理区××县××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河龙区间多沙粗沙国家级重点治理区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土壤侵蚀，侵蚀强度，风力侵蚀，水土流失面积(km²)/百分比（％），各级土壤侵蚀强度面积及比例，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宝塔区,  准格尔旗,  东胜区,  神木县,  内蒙古,  伊金霍洛旗,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2013-2017年河龙区间多沙粗沙国家级重点治理区土壤侵蚀统计表数据集. 国家冰川冻土沙漠科学数据中心(http://www.ncdc.ac.cn), 2021. https://cstr.cn/CSTR:11738.11.ncdc.HHSTBC.2020.190.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