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石羊河流域典型农作物产量与耗水数据集（2019-2020年）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Crop Yield and Water Consumption Dataset in the Shiyang River Basin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11738.11.NCDC.NIEER.DB3931.2023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  本数据为基于石羊河流域5种典型作物（玉米、小麦、向日葵、辣椒和棉花），不同灌水定额（T1, 1800 m3&gt;/ha；T2, 1440 m3&gt;/ha；T3, 1080 m3&gt;/ha；T4, 720 m3&gt;/ha；T5, 360 m3&gt;/ha）下田间试验的产量、生物量与实际蒸散发（微型蒸渗仪法）。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2019/05/29-2020/10/28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中国科学院西北生态环境资源研究院干旱区盐渍化研究站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典型作物, 产量, 生物量, 实际蒸散量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中国科学院西北生态环境资源研究院干旱区盐渍化研究站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彭飞. 石羊河流域典型农作物产量与耗水数据集（2019-2020年）. 国家冰川冻土沙漠科学数据中心(http://www.ncdc.ac.cn), 2023. https://cstr.cn/CSTR:11738.11.NCDC.NIEER.DB3931.2023.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陈小杰, 彭飞, 薛娴, 黄翠华, 尤全刚, 吴思渊, 潘晶, 刘斐耀, 郭平林, 史尧方. 石羊河流域典型农作物高水分利用效率和单位水收益的灌水定额[J]. 应用与环境生物学报, 2022, 28(06): 1460-1468.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