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兰州大学榆中校区研究区无人机高光谱影像数据集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Lanzhou University Yuzhong Campus Study Area UAV Hyperspectral Image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10.12072/ncdc.loess.db7343.2026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11738.11.ncdc.loess.db7343.2026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  HY-9010-L 无人机载高光谱成像系统获取，覆盖兰州大学榆中校区研究区。传感器光谱范围约 400–1000 nm，光谱分辨率优于 2.8 nm，采用 4× 光谱/空间合并模式获得 300 个波段、480 像元跨航迹空间通道。原始 ENVI 立方体空间尺寸约为 480×6560 像元和 480×41701 像元（两条航线），光谱通道数 300，波长范围约 388–1025 nm，可用于精细地物识别、岸坡物质组成分析及地表环境监测等研究。   数据空间分辨率取决于飞行高度，本数据在典型航高下地面分辨率约为 0.3–0.5 m。   数据以 ENVI 标准格式存储，可直接在 ENVI / ENVI Classic 软件中通过“File → Open Image File”加载 .hdr 文件打开，也可通过 GDAL 在 QGIS、ArcGIS 等平台读取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  数据由 HY-9010-L 无人机载高光谱成像系统获取。系统采用 CMOS 探测器，空间分辨率为 0.7 mrad@F=35 mm，空间通道数 1920（1×）、960（2×）、480（4×），本数据采用 480 通道模式；光谱通道数 1200（1×）、600（2×）、300（4×），本数据采用 300 通道模式。数据通过 USB3.0 接口实时采集，成像帧率最高 128 fps。原始图像以 ENVI Standard 格式存储，行×列为 6560×480 和 41701×480，光谱波段数 300，数据类型为 64 位浮点（data type=12），按 BIL 方式交错，header 文件中记录了每个波段的中心波长（单位：nm）。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集前对系统进行了光谱与空间统一标定，并在飞行过程中结合标准白板和暗场采集进行辐射定标，消除了大部分条带和暗电流噪声。成像过程中剔除了严重过曝、运动模糊和云影干扰的航线片段；波段范围内信噪比较高，连续性良好，头尾个别波段可能受系统响应衰减影响，可在应用中根据需要予以剔除。整体来看，数据空间几何畸变较小，光谱曲线平滑连续，可满足精细光谱分析与分类识别的需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2024/07/01-2024/07/31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中国，兰州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ENVI Standard格式，BIL交错，64位浮点(data type=12)，含.hdr头文件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无人机遥感, 高光谱成像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大地测量学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吴琼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2022YFC3003402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黄土地质体/灾害体结构和物性参数大范围快速探测技术装备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吴琼. 兰州大学榆中校区研究区无人机高光谱影像数据集. 国家冰川冻土沙漠科学数据中心(http://www.ncdc.ac.cn), 2026. https://cstr.cn/CSTR:11738.11.ncdc.loess.db7343.2026.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