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topographic factors in the Weihe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10.12072/ncdc.WRiver.db0013.2021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DEM data were obtained from the Geospatial Data Cloud (http://www.gscloud.cn/search).</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Image stitching and resampling using Python program; cropping according to the Weihe River Basin boundary for the study area, and generating 30m DEM data products for the Weihe River Basin.   (2) Using Arcgis software, we extracted and calculated 11 topographic factors of the Weihe River Basin by applying the surface analysis tool and the raster calculator tool.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source data were resampled and the data quality is good. the vertical error of the SRTM DEM data is less than 16 m. The data were resampled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Theme:Slope, aspect, curvature, slope variation rate, aspect variation rate, terrain undulation, surface roughness, elevation variation coefficient, surface cutting depth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Data set of topographic factors in the Weihe River Basin. National Cryosphere Desert Data Center(http://www.ncdc.ac.cn), 2021. https://cstr.cn/CSTR:11738.11.ncdc.WRiver.2021.11.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