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甘肃省自然状况统计数据集（2008-2016年）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dataset of natural conditions in Gansu Province (2008-2016)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10.12072/ncdc.gseer.db3974.2023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11738.11.NCDC.GSEER.DB3974.2023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  本数据集主要收集了甘肃省的自然状况统计数据，主要包括以下2部分：   1. 甘肃省主要能源、黑色金属矿产基础储量（2008-2016），主要包括石油、天然气、煤炭、铁矿、锰矿、铬矿、钒矿和原生钛铁矿。   2. 甘肃省主要有色金属、非金属矿产基础储量（2008-2016），主要包括铜矿、铅矿、锌矿、铝土矿、菱镁矿、硫铁矿、磷矿、高岭土。   数据集存储格式为excel，各字段含义见表头，数据主要来源于《中国环境统计年鉴》。本数据集可为甘肃自然概况统计提供基础数据。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  数据来源于《中国环境统计年鉴》，收集范围为甘肃省全域。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  人工收集整理数据并摘录。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  人工整理，并经过核对和交叉验证，数据质量良好。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主要能源, 黑色金属矿产基础储量, 有色金属, 非金属矿产基础储量, 统计公报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2008 2009 2010 2011 2012 2013 2014 2016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甘肃省自然状况统计数据集（2008-2016年）. 国家冰川冻土沙漠科学数据中心(http://www.ncdc.ac.cn), 2023. https://cstr.cn/CSTR:11738.11.NCDC.GSEER.DB3974.2023.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