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2013-2017年祖厉河渭河上游国家级重点治理区林草植被覆盖度图数据集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forest and grass vegetation coverage map in national key control area of upper Weihe River of Zuli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祖厉河渭河上游国家级重点治理区林草植被覆盖度图数据集包括甘肃省定西市安定区、甘肃省庄浪县、宁夏回族自治区西吉县和甘肃省靖远县等区域2013年、2014年、2015年、2016年和2017年的林草植被覆盖度，基于空间分辨率为2米的卫星遥感影像加工获得，保存格式为tif，数据命名采用“所属重点治理区＋行政区＋年份＋林草植被覆盖度图”的形式，如“××重点治理区××县××年林草植被覆盖度图”。植被覆盖度划分为高覆盖度、中高覆盖度、中覆盖度、中低覆盖度、低覆盖度和裸地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祖厉河渭河上游国家级重点治理区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 重点治理区甘肃省定西市安定区，甘肃省庄浪县，宁夏回族自治区西吉县，甘肃省靖远县，植被覆盖度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宁夏回族自治区,  庄浪县,  靖远县,  西吉县,  定西市安定区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2013-2017年祖厉河渭河上游国家级重点治理区林草植被覆盖度图数据集. 国家冰川冻土沙漠科学数据中心(http://www.ncdc.ac.cn), 2021. https://cstr.cn/CSTR:11738.11.ncdc.HHSTBC.2020.165.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