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1912-2000年（部分年份）中亚五国河流逐月平均流量数据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flow data of rivers in five Central Asian countries from 1912 to 2000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为亚五国河流逐月平均流量和站点数据，包含一个表内10个分表，监测指标有逐月平均流量统计数据和站号河流名称（英文中文）、站名（英文中文）、东经北纬（度）、流域面积（km²）、海拔高度（m）、起始终始年份，哈萨克斯坦（131，180，1912-2000）、吉尔吉斯斯坦（74，83，1936-1985）、塔吉克斯坦（23，27，1936-1985）、乌兹别克斯坦（17，20，1931-1985）、土库曼斯坦（9，9，1936-1985）五个国家的河流逐月平均流量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逐月平均流量统计数据和站号河流名称（英文中文）、站名（英文中文）、东经北纬（度）、流域面积（km²）、海拔高度（m）、起始终始年份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1912-2000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乌兹别克斯坦,  土库曼斯坦,  河流流量,  塔吉克斯坦,  哈萨克斯坦,  水文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1912-2000年（部分年份）中亚五国河流逐月平均流量数据. 国家冰川冻土沙漠科学数据中心(http://www.ncdc.ac.cn), 2021. https://cstr.cn/CSTR:11738.11.ncdc.nieer.2020.1347.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