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1999年黄河中游多沙粗沙区水土保持综合治理现状数据集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comprehensive management of soil and water conservation in the middle reaches of the Yellow River in 1999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10.12072/ncdc.HHSTBC.db0045.2021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1999年甘肃、宁夏、内蒙、山西、陕西5个省区黄河中游多沙粗沙区涉及县（区、旗）水土保持综合治理现状统计数据集，包括涉及县（旗）的流失面积、治理面积、治理度、基本农田面积、人工造林面积、果园、人工种草、封禁治理等数据，包含51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本数据集是由甘肃、宁夏、内蒙、山西、陕西各省区统计上报，审核汇总。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1999/01/01-1999/12/31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黄河中游多沙粗沙区（包括甘肃、宁夏、内蒙、山西、陕西5个省区）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流失面积，治理面积，治理度，基本农田面积，人工造林面积，果园，人工种草，封禁治理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宁夏回族自治区,  山西省,  甘肃省,  内蒙古自治区,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1999年黄河中游多沙粗沙区水土保持综合治理现状数据集. 国家冰川冻土沙漠科学数据中心(http://www.ncdc.ac.cn), 2021. https://cstr.cn/CSTR:11738.11.ncdc.HHSTBC.2020.144.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