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黑河生态水文遥感试验：水文气象观测网数据集（四道桥超级站气象要素梯度观测系统-2013年）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eco hydrological remote sensing experiment: hydrometeorological observation network data set (sidaoqiao super station meteorological element gradient observation system-2013)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10.12072/ncdc.NIEER.db0039.2020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  该数据集包含了2013年7月11日至2013年12月31日黑河水文气象观测网下游四道桥超级站气象要素梯度观测系统数据。站点位于内蒙古额济纳旗达来呼布镇四道桥，下垫面是柽柳。  观测点的经纬度是101.1374E, 42.0012N，海拔873m。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土壤热流板G1埋设在柽柳下方，G2和G3埋设在裸地；平均土壤温度传感器TCAV（2013年7月17日安装）埋设在地下2cm、4cm处；土壤温度探头埋设在地表0cm和地下2cm、4cm、10cm、20cm、40cm、80cm、120cm和160cm处；土壤水分传感器（2013年12月7日安装）分别埋设在地下2cm、4cm、10cm、20cm、40cm、80cm、120cm和160cm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单位：体积含水量，百分比)、土壤温度（Ts_0cm、Ts_2cm、Ts_4cm、Ts_10cm、Ts_20cm、Ts_40cm、Ts_80cm、Ts_120cm、Ts_160cm）(单位：摄氏度)。</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土壤热流板G1埋设在柽柳下方，G2和G3埋设在裸地；平均土壤温度传感器TCAV（2013年7月17日安装）埋设在地下2cm、4cm处；土壤温度探头埋设在地表0cm和地下2cm、4cm、10cm、20cm、40cm、80cm、120cm和160cm处；土壤水分传感器（2013年12月7日安装）分别埋设在地下2cm、4cm、10cm、20cm、40cm、80cm、120cm和160cm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数据的处理与质量控制：  （1）确保每天144个数据（每10min），若出现数据的缺失，则由-6999标示；10m风速在2013年11月12日之前由于仪器问题，期间以-6999标示；  （2）剔除有重复记录的时刻；  （3）删除了明显超出物理意义或超出仪器量程的数据；  （4）数据中以红字标示的部分为有疑问的数据；  （5）日期和时间的格式统一，并且日期、时间在同一列。如，时间为：2013-9-10 10:30；  （6）命名规则为：AWS+站点名称。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2013/07/11-2013/12/31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四道桥超级站, 下游天然绿洲试验区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柽柳, 水文气象观测网, 气象要素, 自动气象站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四道桥超级站,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101.84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 黑河生态水文遥感试验：水文气象观测网数据集（四道桥超级站气象要素梯度观测系统-2013年）. 国家冰川冻土沙漠科学数据中心(http://www.ncdc.ac.cn), 2021. https://cstr.cn/CSTR:11738.11.ncdc.nieer.2020.1591.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 (4): 1291-1306.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