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土壤激发效应对于多个全球变化因子的响应数据集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on Soil Priming Effect Responses to Multiple Global Change Factors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检索了1990至2024年间探讨全球变化因子对陆地生态系统土壤激发效应影响的同行评审文献。纳入分析的全球变化因子包括：氮沉降、气候变暖、降水增加、二氧化碳富集、土地利用变化及放牧，评估了全球变化下激发效应的响应及调控机制。本数据为优化未来气候变化情景下土壤有机碳动态的预测提供了关键参考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  1.激发效应数据：源自筛选后的论文数据。   2.气候、土壤性质数据：文章中提供；若文章未提供则，气象变量基于各站点的地理坐标，从WorldClim database（http://www.worldclim.org）获取；土壤理化基于各站点坐标，从 SoilGrids250m 2.0 database (http://soilgrids.org)获取。   3.生态系统类型和实验属性数据源自筛选后的论文数据。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  激发效应计算参考Feng and Zhu (2021) 和 Favaro et al. (2025)的公式：Favaro, A., Singh, B., Warren, C., and Dijkstra, F. A. 2025. “Differences between priming and rhizosphere priming effects: Concepts and mechanisms.” Soil Biology and Biochemistry 205: 109769. https://doi.org/10.1016/j.soilbio.2025.109769 Feng, J., and Zhu, B. 2021. “Does calculation method affect the nutrient-addition effect on priming?” Geoderma 393: 115040. https://doi.org/10.1016/j.geoderma.2021.115040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激发效应, 气候变化, 元分析, 土壤碳氮比, 氮挖掘, 碳动态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徐敏,  王世金,  陈生云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  </w:t>
      </w:r>
      <w:proofErr w:type="gramStart"/>
      <w:r>
        <w:rPr>
          <w:rFonts w:ascii="Times New Roman" w:hAnsi="Times New Roman" w:hint="eastAsia"/>
          <w:sz w:val="24"/>
          <w:szCs w:val="24"/>
          <w:lang w:eastAsia="zh-CN"/>
        </w:rPr>
        <w:t xml:space="preserve">,  徐敏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U24A20586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祁连山南麓冻土区高寒草地生态系统对增温和放牧的响应机制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U23A2062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青海多年冻土生态系统碳循环的生物和非生物机制及模拟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xbzg-zdsys-202214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多年冻土微生物效应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23ZDFA017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冰冻圈环境效应与冻土工程安全保障研究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CSFSE-FX-2505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中国科学院西北生态环境资源研究院冰冻圈科学与冻土工程全国重点实验室自主部署课题</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徐敏,王世金,陈生云. 土壤激发效应对于多个全球变化因子的响应数据集. 国家冰川冻土沙漠科学数据中心(http://www.ncdc.ac.cn), 2026. https://cstr.cn/CSTR:11738.11.NCDC.NIEER.DB7060.2026.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