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低剂量包络线与不同束流模型对碳原子点扫描束流传输的剂量学效应</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Dosimetric effect of the low dose envelope associated with different beam models for carbonion spot scanning beam delivery</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10.12072/ncdc.imp.db4027.2023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11738.11.NCDC.IMP.DB4027.2023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文章关注不同笔形束模型下的碳离子点扫描治疗中的剂量学效应和人体剂量分布，在考虑碳离子产生的低剂量包络后，进行解析计算后所得到的体内剂量分布和蒙卡计算得到的体内剂量分布结果更加符合，可以提高其计算的精度。</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不同笔形束模型下的碳离子点扫描治疗中的剂量学效应和人体剂量分布</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解析计算及蒙特卡洛方法</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2020/06/30-2020/06/30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甘肃兰州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695.2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笔形束模型, 蒙卡计算</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兰州,  甘肃省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2017YFC0107500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多模式引导的多粒子生物适形调强新技术研究与实现</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肖国青. 低剂量包络线与不同束流模型对碳原子点扫描束流传输的剂量学效应. 国家冰川冻土沙漠科学数据中心(http://www.ncdc.ac.cn), 2023. https://cstr.cn/CSTR:11738.11.NCDC.IMP.DB4027.2023.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