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中巴经济走廊降水时空数据集（ 1901-2018年）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and temporal dataset of precipitation in China-Pakistan Economic Corridor, from 1901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10.12072/casnw.045.2018.db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全球变暖的背景下，区域降水的变化趋势，幅度，变率和周期性会有所不同。中巴经济走廊做为“一路一带”倡议中，气候环境多变，自然灾害多样频发的典型区域，其受到减弱的印度洋季风和加强的西风的影响，降水具有时空变异性，本数据集为了解中巴经济走廊区域降水的时空变化及趋势演变提供基础资料。 本数据集基于CRU全球格点数据，制备了中巴经济走廊区域1901-2018年间降水量空间数据集，共计1654个GeoTIFF文件，其中降水量单位为mm，空间分辨率为0.5°×0.5°，时间分辨率为月，年以及多年(1901-2018)。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英国东安格利亚大学CRU气象格点数据集,版本号: v. 4.03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对原始数据进行格式转换，区域裁剪，统计分析，生成了4类气温空间数据集： (1) 1901-2018年间降水量的最小值与最大值，分别生产CPEC_all_pre_max.tif与CPEC_all_pre_min.tif两个数据文件; (2) 根据每月的降水量取均值，形成年均降水量，命名形式为：CPEC_YYYY_pre.tif ； (3) 根据每月的降水量总和，形成年总降水量，命名形式为：CPEC_YYYY_pre_total.tif (4)月降水量命名形式为：CPEC_YYYYMM_pre.tif，其中YYYY 四位数标识年份 MM 两位数标识月份。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本数据集的时空精度与原始CRU数据保持一致，质量良好，适宜于气候变化研究及环境演变分析。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1901/01/01-2018/12/31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中巴经济走廊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月，年，多年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中巴经济走廊, CRU气象格点数据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1901-2018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中巴经济走廊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赵国辉. 中巴经济走廊降水时空数据集（ 1901-2018年）. 国家冰川冻土沙漠科学数据中心(http://www.ncdc.ac.cn), 2020. https://cstr.cn/CSTR:11738.11.ncdc.nieer.2020.1319.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