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渭河流域水文因子数据集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hydrological factors in the Weihe River Basin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采用的数据源为DEM，从地理空间数据云（http://www.gscloud.cn/search）下载，对多幅DEM进行拼接，利用渭河流域的矢量边界对DEM进行裁剪，最终得到渭河流域DEM数据。通过水文分析可确定河流方向、提取河网、河网分级、提取流域，主要包括以下5部分：   1. 无洼地DEM生成：（1）水流方向提取；（2）洼地深度计算；（3）洼地填充。   2. 汇流累积量计算：（1）重新计算无洼地DEM水流方向；（2）计算汇流累积量。   3. 水流长度计算：（1）DOWNSTREAM-计算沿流路径从每个像元到栅格边上的汇点或出水口的下坡距离；（2）UPSTREAM-计算沿流路径从每个像元到分水岭顶部的最长上坡距离。   4. 河网提取：（1）河网生成；（2）Stream link生成（河网的连接点，包括弧段的起点和终点）；（3）河网分级生成。   5. 流域的分割：（1）流域盆地的确定；（2）汇水区出水口的确定；（3）集水流域的生成。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  原始DEM数据从地理空间数据云（http://www.gscloud.cn/search）下载。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  1.数据所采用的数据源为DEM，从地理空间数据云(http://www.gscloud.cn/search）下载。对多幅DEM进行拼接，利用渭河流域的矢量边界对DEM进行裁剪，最终得到渭河流域的DEM数据。   2.利用ArcGIS软件，运用水文分析工具提取河流网络、流向、流量、汇流累积量和水流长度等因子。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无洼地DEM, 汇流累积量, 水流长度, 河网提取, 流域的分割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渭河流域水文因子数据集. 国家冰川冻土沙漠科学数据中心(http://www.ncdc.ac.cn), 2021. https://cstr.cn/CSTR:11738.11.ncdc.WRiver.2021.3.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