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新疆不同地区骆驼刺种群结构、生物量分配及多器官功能性状数据集（2025年）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Camel spina population structure, biomass allocation and multiple organ functional traits in different regions of Xinjiang 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10.12072/ncdc.db7772.2026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11738.11.ncdc.db7772.2026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新疆不同荒漠地区（2025.7.1-8.28）骆驼刺种群调查和植物功能性状测定，旨在揭示骆驼刺种群结构、生物量分配及多器官功能性状的空间差异。数据集包含12个工作表和175条样地层级统计记录。种群和生物量数据涵盖S1—S15共15个样地，包括种群盖度、高度、株丛数，叶、刺、茎和根生物量，以及各器官生物量分配比例和根冠比。器官生态化学计量数据包括叶、刺、茎和根的碳、氮、磷含量及其化学计量比。叶片功能性状包括比叶重、叶厚度、叶组织密度、单位质量和单位面积氮含量、叶脉密度、最大气孔导度及上下表皮气孔特征。解剖性状包括叶片表皮细胞壁和角质层厚度，刺和茎的气孔长度及密度，以及茎导管直径、纹孔面积和纹孔密度。数据以样地统计均值、误差及显著性分组形式表示，可用于分析荒漠深根植物种群特征、资源分配、水力安全和养分利用策略对区域环境差异的响应。   本数据集以Excel格式存储，包括12个工作表和175条样地层级统计记录。   “骆驼刺的主要种群数量特征”工作表包含S1—S15共15个样地的种群盖度、平均高度和株丛数。   “骆驼刺的生物量”和“骆驼刺的生物量分配比例”工作表分别记录15个样地骆驼刺叶、刺、茎和根生物量，以及叶质比、刺质比、茎质比、根质比和根冠比。   叶、刺、茎和根生态化学计量特征分别存储于4个工作表中，包括各器官碳、氮和磷含量，以及质量基础的碳氮比、碳磷比和氮磷比。   “骆驼刺主要叶经济性状”工作表包含S1—S14共14个样地的比叶重、叶厚度、叶组织密度、单位质量氮浓度和单位面积氮浓度。   “骆驼刺主要叶水力性状”工作表包含叶脉密度、最大气孔导度、叶片上下表皮气孔长度和气孔密度。   其余工作表记录叶片上下表皮细胞壁及角质层厚度、刺和茎表皮气孔长度及气孔密度，以及茎导管直径、纹孔面积和纹孔密度。各指标以样地均值、误差及显著性分组字母表示。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2025.7.1-8.28期间对我国西北干旱区自然骆驼刺种群开展的野外调查和采样，依据《中国植物志》《中国植被地图集》及物种分布情况，在塔里木盆地南、北缘、吐鲁番盆地、准噶尔盆地南缘和河西走廊西部选择15个以骆驼刺为优势种的代表性样地。 每个样地随机设置3个10 m×10 m样方，调查盖度、株高和株丛数，并随机选择3株骆驼刺，采集叶、刺、茎及0–100 cm根系，80 ℃烘干至恒重后测定各器官生物量。在0–20、20–40、40–60、60–80和80–100 cm土层采集土壤，测定含水量、碱解氮、有效磷和有机碳。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15个采样地点为基本层级进行数据整编，统一编号为S1–S15，其中S表示采样点（Site），数字表示不同样地的顺序编号。每个样地3个样方及3株取样植株按照实际调查顺序对应记录。统一变量名称、缩写、单位和数据格式；对重复记录、缺失值及异常数据进行核查，疑似异常值返回原始记录复核，不对真实观测值进行人为修改或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  所有样地采用统一的样方设置、植物取样和土壤分层采集流程。植物样品统一80 ℃烘干至恒重；土壤含水量采用烘干差值法，碱解氮采用碱溶液扩散法，有效磷采用NaHCO₃浸提-钼酸盐/抗坏血酸蓝法，有机碳采用K₂Cr₂O₇-H₂SO₄消解滴定法测定。数据产出后核查样地编号、样方、土层、单位、缺失值及异常值，确保数据一致性和可追溯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2025/07/01-2025/08/28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吐鲁番盆地、塔里木盆地北缘、塔里木盆地南缘、河西走廊西部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豆科植物, 植物化学计量, 植物性状, 叶片性状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策勒,  吐鲁番,  阜康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曾凡江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2024YFE0103300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中埃荒漠生态系统生产力对极端干旱的响应机制研究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张志浩. 新疆不同地区骆驼刺种群结构、生物量分配及多器官功能性状数据集（2025年）. 国家冰川冻土沙漠科学数据中心(http://www.ncdc.ac.cn), 2026. https://cstr.cn/CSTR:11738.11.ncdc.db7772.2026.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