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祁连山国家公园高分辨率土壤有机碳密度（0~100cm）数据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High-resolution soil organic carbon density (0-100cm) data of Qilian Shan National Park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祁连山国家公园高分辨率土壤有机碳密度（0~100cm）数据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本数据集的制作共使用祁连山及其周边区域973个土壤采样点实测数据，数据主要来源如下：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DSM）方法和基于瓦片结构的运算，模拟了祁连山地区0~100 cm土层10m分辨率土壤有机碳密度空间分布。预测方法主要是基于机器学习中的极端梯度提升算法（XGBoost，eXtreme Gradient Boosting），环境协变量数据包括：Sentinel-2多光谱影像、Sentinel-1雷达影像、气温、降水、辐射、地形、植被指数、位置等栅格数据。 在R语言中构建数字土壤制图框架，为了减少内存占用量和提高计算速度，将整个祁连山地区划分为33个150km×150km的子区域（region），每个子区域内构建基于瓦片（瓦片大小：15km×15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经30次10折交叉验证表明，模型的RMSE和R2分别为6.26 kg/m2和 0.75。最终数据产品共分为33个子区域（region），mean和sd分别表示30次重复建模的均值和标准差，单位为kg/m2，表示0~100cm土层内单位面积上土壤有机碳的质量，各子区域合并后获得整个祁连山地区土壤有机碳密度均值（mean）和标准差（sd），分辨率为10m，数据量72.40GB，利用祁连山国家公园边界进行掩膜，采用bilinear法分别重采样至30m/90m/250m/500m/1000m，总数据量13.70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祁连山国家公园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10m/30m/90m/250m/500m/1000m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祁连山国家公园, 土壤有机碳密度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祁连山国家公园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2021ZDKT0004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祁连山山水林田湖草沙系统治理成效评价研究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祁连山国家公园高分辨率土壤有机碳密度（0~100cm）数据. 国家冰川冻土沙漠科学数据中心(http://www.ncdc.ac.cn), 2023. https://cstr.cn/CSTR:11738.11.ncdc.qlsst.db2693.2023.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37(11): 1101-1114.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白光祖,李宗省等. 加快构建西北地区生态保护新格局[J]. 中国科学院院刊, 2022, 37(10): 1457-1470.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LiYongge，LiuWei，FengQi，etal. Effects of land use and land cover change on soil organic carbon storage in the Hexi Regions, Northwest China[J]. Journal of Environmental Management, 2022, 312: 114911.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ZhuMeng，FengQi，QinYanyan，etal. The role of topography in shaping the spatial patterns of soil organic carbon[J]. CATENA, 2019, 176: 296-305.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