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2015-2019年黄河流域农林牧渔业总产值及指数数据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Total output value and index data of agriculture, forestry, animal husbandry and fishery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10.12072/ncdc.YRiver.db0029.2021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  本数据集主要收集了黄河流域各地区(以县区级单位，共103个)农林牧渔业总产值数据。数据主要来源于黄河流域各地区年鉴及省级统计年鉴。   1、数据集命名：流域农林牧渔业总产值及指数.xlsx。   2、属性信息：省：黄河流域流经省级地区。市：黄河流域流经市级地区。县(区)：黄河流域流经县(区)级地区。总值：流域地区农林牧渔业年总产值，单位:万元。   数据集中每个工作表分别为2015～2019年黄河流域各地区农林牧渔总值数据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  源自各区县年鉴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指数, 水产业总产值, 畜牧业, 农业增加值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黄河流域，河南，山西，陕西，山东，甘肃，宁夏，内蒙古，青海，四川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2015-2019年黄河流域农林牧渔业总产值及指数数据. 国家冰川冻土沙漠科学数据中心(http://www.ncdc.ac.cn), 2021. https://cstr.cn/CSTR:11738.11.ncdc.YRiver.2021.28.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