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surface temperature products in the middle reaches of Heihe River Basin (July 4,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4, 2012, the flight test of thermal infrared hyperspectral aerial remote sensing data was carried out in Linze survey area and Heihe River in the middle reaches of Heihe River by using Yun 12 aircraft and TASI sensor. The TASI sensor has a wavelength range of 8-11.5um and a spatial resolution of 3M. Based on the data obtained from aerial survey, the surface radiance after atmospheric correction is obtained by using the coordinate data and atmospheric data measured synchronously, and the surface temperature data is obtained by separating the temperature emissivity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TASI sensor has a wavelength range of 8-11.5um and a spatial resolution of 3M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TASI sensor has a wavelength range of 8-11.5um and a spatial resolution of 3M. Based on the data obtained from aerial survey, the surface radiance after atmospheric correction is obtained by using the coordinate data and atmospheric data measured synchronously, and the surface temperature data is obtained by separating the temperature emissivity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time:2012/07/04-2012/07/05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Theme:TASI sensor, surface temperature, remote sensing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pilot area of artificial oasis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Wen jianguang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Wen jianguang. Heihe River eco hydrological remote sensing test: surface temperature products in the middle reaches of Heihe River Basin (July 4, 2012). National Cryosphere Desert Data Center(http://www.ncdc.ac.cn), 2021. https://cstr.cn/CSTR:11738.11.ncdc.NIEER.2021.15.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