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山西省太原市铁矿渣吸附酸性老窑水污染物的实验数据（2018年10月）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 on adsorption of acid old kiln water pollutants by iron ore slag in Taiyuan, Shanxi Province (October 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10.12072/ncdc.UTCMW.db2182.2022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11738.11.ncdc.UTCMW.db2182.2022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选取铁矿渣作为吸附材料，通过静态吸附实验，研究了铁矿渣对酸性老窑水中污染物的吸附影响，分析其净化老窑水的净化效率及最佳固液比。基于吸附动力学模型，明确吸附材料对污染物的吸附过程、吸附速率及达到吸附平衡的时间。数据集共包含216个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国家卫生部颁布的《生活饮用水标准检验方法无机非金属指标》（GB/T5750.5-2006），采用铬酸钡分光光度法（热法）测定SO42-的浓度。根据国家卫生部颁布的《生活饮用水标准检验方法无机金属指标》（GB/T5750.6-2006），采用原子吸收分光光度计对溶液中金属离子（Fe、Mn、Zn）进行测定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2018/10/01-2018/10/31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901.4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静态吸附, 污染物, 吸附酸性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张永波. 山西省太原市铁矿渣吸附酸性老窑水污染物的实验数据（2018年10月）. 国家冰川冻土沙漠科学数据中心(http://www.ncdc.ac.cn), 2022. https://cstr.cn/CSTR:11738.11.ncdc.UTCMW.db2182.2022.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