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额济纳绿洲景观指数数据集（1990-2020年）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Landscape types of Ejina oasis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10.12072/ncdc.nieer.db6432.2024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11738.11.NCDC.NIEER.DB6432.2024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反应了1990、2000、2010及2020年额济纳不同地类、斑块数量、集聚度的变化情况，其中地类包含了建筑用地、林地、水域、草地和未利用地，共包含160条数据记录，该数据集可为评估额济纳景观格局提供重要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  景观数据计算。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  通过遥感解译获取额济纳绿洲景观分布格局，斑块集聚度根据集中连片程度确定，所获取数据在excel中进行统计整理。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  为确保数据质量，对数据集进行人工检查和校正，并与文献记录进行对比，审核后入库。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2021/07/12-2021/07/12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斑块数量, 斑块面积, 集聚度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额济纳绿洲景观指数数据集（1990-2020年）. 国家冰川冻土沙漠科学数据中心(http://www.ncdc.ac.cn), 2024. https://cstr.cn/CSTR:11738.11.NCDC.NIEER.DB6432.2024.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