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2001-2011年黑河流域时空连续FPAR数据集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Spatiotemporal continuous FPAR data set of Heihe River Basin from 2001 to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10.12072/ncdc.nieer.db3062.2023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基于MODIS的FPAR（Fraction of Absorbed Photosynthetically Active Radiation）产品（MCD15A2和MOD15A2）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基于MODIS的FPAR（Fraction of Absorbed Photosynthetically Active Radiation）产品（MCD15A2和MOD15A2）利用改进的HANTS算法去云重建得到了2001-2011每天黑河流域FPAR数据集。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产品坐标系统为经纬度投影，空间范围为：96.5E-102.5E, 37.5N-43N。每天的数据存储为一个GEOTIFF文件，命名方式：heihe_yyyy_FPAR_recon.ddd.tif，其中yyyy是年份，ddd表示特定年份中的某一天。每年默认有365天的输出数据。数据类型为单精度浮点型，无效值像元填充值为255，有效的数据范围为0-100，缩放因子为0.01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2001/01/01-2011/01/01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4326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FPAR, MCD15A2, MODIS, 植被, MOD15A2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黑河上中下游,  全流域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102.82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贾立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贾立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贾立. 2001-2011年黑河流域时空连续FPAR数据集. 国家冰川冻土沙漠科学数据中心(http://www.ncdc.ac.cn), 2021. https://cstr.cn/CSTR:11738.11.ncdc.nieer.2020.1626.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