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Tourism Resources Data of Xinjiang 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10.12072/ncdc.nieer.db3036.2023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a collection of attribute (table) and picture data, including the name, type, level, geographical location, altitude of the tourist attractions within the scope of Xinjiang, as well as the general situation of the counties, cities and scenic spots belonging to, etc. through collecting and sorting out the 2005 tourism development planning texts of various regions, cities and counties in Xinjiang, and integrating the data sorted out and collected by the unit over the years.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Xinjiang tourism resources data are processed by Xinjiang Institute of ecology and geography, Chinese Academy of Sciences. The main data sources include: 1 General survey of basic types of tourism resources in Tacheng region 2. General survey of tourism resources and tourism development planning in Aksu region 3. General survey of tourism resources and tourism development planning in Changji Hui Autonomous Prefecture 4. Tourism development planning in Bortala Mongolian Autonomous Prefecture 5. General survey of tourism resources and tourism development planning in Kashi region 6 The above data are from Xinjiang literature and Information Center, Chinese Academy of Sciences.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Input the data into excel file according to the designed library structure, and then import the Excel data into MS SQL server. The pictures are named according to the specified naming rules, i.e. the number of each tourist attraction + "" + picture number, where the picture number starts from 1, so that the pictures can be imported into the tourism library. For example: aks001_1.jpg, image format *. JPG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It basically includes the information of all tourist attractions, with complete fields and corresponding pictures.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Uygur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resources database \ Tourism resources, Tourism, Scenic spots, Tourism, Places of interest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Uygur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contacts:Fang Hui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phone:0991-7885376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mailbox:fanghui@ms.xjb.ac.cn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 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Tourism Resources Data of Xinjiang in 2005. National Cryosphere Desert Data Center(http://www.ncdc.ac.cn), 2021. https://cstr.cn/CSTR:11738.11.ncdc.nieer.2020.1308.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